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chx-20260414.htm"/>
      <w:bookmarkStart w:id="1" w:name="ksmchx20260414"/>
      <w:bookmarkEnd w:id="0"/>
      <w:bookmarkEnd w:id="1"/>
      <w:r>
        <w:rPr/>
        <w:t> </w:t>
      </w:r>
    </w:p>
    <w:p>
      <w:pPr>
        <w:pStyle w:val="TextBody"/>
        <w:bidi w:val="0"/>
        <w:jc w:val="left"/>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4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240" w:after="283"/>
        <w:jc w:val="center"/>
        <w:rPr>
          <w:rFonts w:ascii="Times New Roman" w:hAnsi="Times New Roman"/>
          <w:sz w:val="20"/>
        </w:rPr>
      </w:pPr>
      <w:r>
        <w:rPr>
          <w:rFonts w:ascii="Times New Roman" w:hAnsi="Times New Roman"/>
          <w:b/>
          <w:color w:val="000000"/>
          <w:sz w:val="24"/>
        </w:rPr>
        <w:t xml:space="preserve">Date of Report </w:t>
      </w:r>
      <w:r>
        <w:rPr>
          <w:rFonts w:ascii="Times New Roman" w:hAnsi="Times New Roman"/>
          <w:b/>
          <w:color w:val="000000"/>
          <w:sz w:val="20"/>
        </w:rPr>
        <w:t>(</w:t>
      </w:r>
      <w:r>
        <w:rPr>
          <w:rFonts w:ascii="Times New Roman" w:hAnsi="Times New Roman"/>
          <w:b/>
          <w:color w:val="000000"/>
          <w:sz w:val="24"/>
        </w:rPr>
        <w:t>Date of earliest event reported): April 14, 2026</w:t>
      </w:r>
    </w:p>
    <w:p>
      <w:pPr>
        <w:pStyle w:val="TextBody"/>
        <w:bidi w:val="0"/>
        <w:spacing w:before="140" w:after="283"/>
        <w:jc w:val="center"/>
        <w:rPr>
          <w:rFonts w:ascii="Times New Roman" w:hAnsi="Times New Roman"/>
          <w:b/>
          <w:color w:val="000000"/>
          <w:sz w:val="48"/>
        </w:rPr>
      </w:pPr>
      <w:r>
        <w:rPr>
          <w:rFonts w:ascii="Times New Roman" w:hAnsi="Times New Roman"/>
          <w:b/>
          <w:color w:val="000000"/>
          <w:sz w:val="48"/>
        </w:rPr>
        <w:t>Marchex,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5598" w:type="dxa"/>
        <w:jc w:val="left"/>
        <w:tblInd w:w="0" w:type="dxa"/>
        <w:tblLayout w:type="fixed"/>
        <w:tblCellMar>
          <w:top w:w="28" w:type="dxa"/>
          <w:left w:w="28" w:type="dxa"/>
          <w:bottom w:w="28" w:type="dxa"/>
          <w:right w:w="28" w:type="dxa"/>
        </w:tblCellMar>
      </w:tblPr>
      <w:tblGrid>
        <w:gridCol w:w="2071"/>
        <w:gridCol w:w="2041"/>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000-50658</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35-2194038</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center"/>
        <w:rPr/>
      </w:pPr>
      <w:r>
        <w:rPr/>
        <w:t> </w:t>
      </w:r>
    </w:p>
    <w:tbl>
      <w:tblPr>
        <w:tblW w:w="3561" w:type="dxa"/>
        <w:jc w:val="left"/>
        <w:tblInd w:w="0" w:type="dxa"/>
        <w:tblLayout w:type="fixed"/>
        <w:tblCellMar>
          <w:top w:w="28" w:type="dxa"/>
          <w:left w:w="28" w:type="dxa"/>
          <w:bottom w:w="28" w:type="dxa"/>
          <w:right w:w="28" w:type="dxa"/>
        </w:tblCellMar>
      </w:tblPr>
      <w:tblGrid>
        <w:gridCol w:w="2596"/>
        <w:gridCol w:w="109"/>
        <w:gridCol w:w="856"/>
      </w:tblGrid>
      <w:tr>
        <w:trPr/>
        <w:tc>
          <w:tcPr>
            <w:tcW w:w="2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596"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1200 5</w:t>
            </w:r>
            <w:r>
              <w:rPr>
                <w:rFonts w:ascii="Times New Roman" w:hAnsi="Times New Roman"/>
                <w:b/>
                <w:color w:val="000000"/>
                <w:sz w:val="13"/>
              </w:rPr>
              <w:t>th</w:t>
            </w:r>
            <w:r>
              <w:rPr>
                <w:rFonts w:ascii="Times New Roman" w:hAnsi="Times New Roman"/>
                <w:color w:val="000000"/>
                <w:sz w:val="20"/>
              </w:rPr>
              <w:t xml:space="preserve"> </w:t>
            </w:r>
            <w:r>
              <w:rPr>
                <w:rFonts w:ascii="Times New Roman" w:hAnsi="Times New Roman"/>
                <w:b/>
                <w:color w:val="000000"/>
                <w:sz w:val="20"/>
              </w:rPr>
              <w:t>Ave, Suite 1300,</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Seattle, Washington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98101</w:t>
            </w:r>
          </w:p>
        </w:tc>
      </w:tr>
      <w:tr>
        <w:trPr/>
        <w:tc>
          <w:tcPr>
            <w:tcW w:w="25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240" w:after="283"/>
        <w:jc w:val="center"/>
        <w:rPr>
          <w:rFonts w:ascii="Times New Roman" w:hAnsi="Times New Roman"/>
          <w:sz w:val="20"/>
        </w:rPr>
      </w:pPr>
      <w:r>
        <w:rPr>
          <w:rFonts w:ascii="Times New Roman" w:hAnsi="Times New Roman"/>
          <w:b/>
          <w:color w:val="000000"/>
          <w:sz w:val="20"/>
        </w:rPr>
        <w:t>Registrant’s Telephone Number, Including Area Code: (206) 331-3300</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240" w:after="283"/>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9"/>
              </w:rPr>
            </w:pPr>
            <w:r>
              <w:rPr>
                <w:rFonts w:ascii="Times New Roman" w:hAnsi="Times New Roman"/>
                <w:color w:val="000000"/>
                <w:sz w:val="19"/>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9"/>
              </w:rPr>
            </w:pPr>
            <w:r>
              <w:rPr>
                <w:rFonts w:ascii="Times New Roman" w:hAnsi="Times New Roman"/>
                <w:color w:val="000000"/>
                <w:sz w:val="19"/>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9"/>
              </w:rPr>
            </w:pPr>
            <w:r>
              <w:rPr>
                <w:rFonts w:ascii="Times New Roman" w:hAnsi="Times New Roman"/>
                <w:color w:val="000000"/>
                <w:sz w:val="19"/>
              </w:rPr>
              <w:t xml:space="preserve">Pre-commencement communications pursuant to Rule 13e-4(c) under the Exchange Act (17 CFR 240.13e-4(c)) </w:t>
            </w:r>
          </w:p>
        </w:tc>
      </w:tr>
    </w:tbl>
    <w:p>
      <w:pPr>
        <w:pStyle w:val="TextBody"/>
        <w:bidi w:val="0"/>
        <w:spacing w:before="12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6265" w:type="dxa"/>
        <w:jc w:val="left"/>
        <w:tblInd w:w="0" w:type="dxa"/>
        <w:tblLayout w:type="fixed"/>
        <w:tblCellMar>
          <w:top w:w="28" w:type="dxa"/>
          <w:left w:w="28" w:type="dxa"/>
          <w:bottom w:w="28" w:type="dxa"/>
          <w:right w:w="28" w:type="dxa"/>
        </w:tblCellMar>
      </w:tblPr>
      <w:tblGrid>
        <w:gridCol w:w="1831"/>
        <w:gridCol w:w="146"/>
        <w:gridCol w:w="826"/>
        <w:gridCol w:w="146"/>
        <w:gridCol w:w="3316"/>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8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8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B 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MCHX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extBody"/>
        <w:bidi w:val="0"/>
        <w:jc w:val="left"/>
        <w:rPr>
          <w:rFonts w:ascii="Times New Roman" w:hAnsi="Times New Roman"/>
          <w:sz w:val="20"/>
        </w:rPr>
      </w:pPr>
      <w:r>
        <w:rPr>
          <w:rFonts w:ascii="Times New Roman" w:hAnsi="Times New Roman"/>
          <w:color w:val="000000"/>
          <w:sz w:val="20"/>
        </w:rPr>
        <w:t xml:space="preserve">Marchex, Inc. (the “Company”) previously reported in its Annual Report on Form 10-K for the fiscal year ended December 31, 2025 (the “Form 10-K”) that the Company had determined that a settlement of the civil action captioned </w:t>
      </w:r>
      <w:r>
        <w:rPr>
          <w:rFonts w:ascii="Times New Roman" w:hAnsi="Times New Roman"/>
          <w:i/>
          <w:color w:val="000000"/>
          <w:sz w:val="20"/>
        </w:rPr>
        <w:t>Chris Barnard and Sinc McEvenue v. Marchex, Inc., C.A. No. 1:22-cv-01382-RGA</w:t>
      </w:r>
      <w:r>
        <w:rPr>
          <w:rFonts w:ascii="Times New Roman" w:hAnsi="Times New Roman"/>
          <w:color w:val="000000"/>
          <w:sz w:val="20"/>
        </w:rPr>
        <w:t>, pending in the United States District Court for the District of Delaware, was probable and accordingly recorded an expense accrual in its 2025 Consolidated Financial Statements for the expected settlement amount. On April 14, 2026, the Company entered into a Settlement Agreement (the “Agreement”) with respect to this civil action for such expected settlement amount, which resolves all claims related to this matter. Pursuant to the Agreement, the Company will pay $750,000 (and agree to the release of $250,000 held in escrow by U.S. Bank) on or before May 14, 2026, and $500,000 on each of November 16, 2026 and May 17, 2027. See Note 10 of the Notes to Consolidated Financial Statements of the Company in Part II, Item 8 and to Item 3. Legal Proceedings in Part I of the Form 10-K, for further discussion of this matter.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description of the Agreement set forth herein does not purport to be complete and is qualified in its entirety by reference to the full text thereof, a copy of which will be filed as an exhibit to the Company’s next applicable periodic report or registration statement.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Marchex has duly caused this Current Report to be signed on its behalf by the undersigned hereunto duly authorized.</w:t>
      </w:r>
    </w:p>
    <w:p>
      <w:pPr>
        <w:pStyle w:val="TextBody"/>
        <w:bidi w:val="0"/>
        <w:jc w:val="left"/>
        <w:rPr/>
      </w:pPr>
      <w:r>
        <w:rPr/>
        <w:t> </w:t>
      </w:r>
    </w:p>
    <w:tbl>
      <w:tblPr>
        <w:tblW w:w="4563" w:type="dxa"/>
        <w:jc w:val="left"/>
        <w:tblInd w:w="0" w:type="dxa"/>
        <w:tblLayout w:type="fixed"/>
        <w:tblCellMar>
          <w:top w:w="28" w:type="dxa"/>
          <w:left w:w="28" w:type="dxa"/>
          <w:bottom w:w="28" w:type="dxa"/>
          <w:right w:w="28" w:type="dxa"/>
        </w:tblCellMar>
      </w:tblPr>
      <w:tblGrid>
        <w:gridCol w:w="1786"/>
        <w:gridCol w:w="631"/>
        <w:gridCol w:w="2146"/>
      </w:tblGrid>
      <w:tr>
        <w:trPr/>
        <w:tc>
          <w:tcPr>
            <w:tcW w:w="178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00"/>
              <w:jc w:val="left"/>
              <w:rPr/>
            </w:pPr>
            <w:r>
              <w:rPr/>
              <w:t> </w:t>
            </w:r>
          </w:p>
        </w:tc>
        <w:tc>
          <w:tcPr>
            <w:tcW w:w="2146" w:type="dxa"/>
            <w:tcBorders/>
            <w:tcMar>
              <w:top w:w="0" w:type="dxa"/>
              <w:left w:w="0" w:type="dxa"/>
              <w:bottom w:w="0" w:type="dxa"/>
              <w:right w:w="0" w:type="dxa"/>
            </w:tcMar>
            <w:vAlign w:val="center"/>
          </w:tcPr>
          <w:p>
            <w:pPr>
              <w:pStyle w:val="TableContents"/>
              <w:bidi w:val="0"/>
              <w:spacing w:before="0" w:after="200"/>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MARCHEX, INC.</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2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15, 2026</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6" w:type="dxa"/>
            <w:tcBorders/>
            <w:tcMar>
              <w:top w:w="0" w:type="dxa"/>
              <w:left w:w="0" w:type="dxa"/>
              <w:bottom w:w="0" w:type="dxa"/>
              <w:right w:w="0" w:type="dxa"/>
            </w:tcMar>
            <w:vAlign w:val="center"/>
          </w:tcPr>
          <w:p>
            <w:pPr>
              <w:pStyle w:val="TableContents"/>
              <w:pBdr>
                <w:bottom w:val="single" w:sz="6" w:space="1" w:color="000000"/>
              </w:pBdr>
              <w:bidi w:val="0"/>
              <w:spacing w:before="0" w:after="20"/>
              <w:jc w:val="center"/>
              <w:rPr>
                <w:rFonts w:ascii="Times New Roman" w:hAnsi="Times New Roman"/>
                <w:color w:val="000000"/>
                <w:sz w:val="20"/>
              </w:rPr>
            </w:pPr>
            <w:r>
              <w:rPr>
                <w:rFonts w:ascii="Times New Roman" w:hAnsi="Times New Roman"/>
                <w:color w:val="000000"/>
                <w:sz w:val="20"/>
              </w:rPr>
              <w:t>/s/ FRANCIS J. FEENEY</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Francis J. Feeney</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3159</Characters>
  <CharactersWithSpaces>3731</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