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885825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-172085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36830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900" w:right="2100" w:hanging="3892"/>
        <w:spacing w:after="0" w:line="295" w:lineRule="auto"/>
        <w:tabs>
          <w:tab w:leader="none" w:pos="343"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43" w:lineRule="exact"/>
        <w:rPr>
          <w:sz w:val="24"/>
          <w:szCs w:val="24"/>
          <w:color w:val="auto"/>
        </w:rPr>
      </w:pPr>
    </w:p>
    <w:tbl>
      <w:tblPr>
        <w:tblLayout w:type="fixed"/>
        <w:tblInd w:w="340" w:type="dxa"/>
        <w:tblCellMar>
          <w:top w:w="0" w:type="dxa"/>
          <w:left w:w="0" w:type="dxa"/>
          <w:bottom w:w="0" w:type="dxa"/>
          <w:right w:w="0" w:type="dxa"/>
        </w:tblCellMar>
      </w:tblPr>
      <w:tr>
        <w:trPr>
          <w:trHeight w:val="233"/>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TRANSITION PERIOD FROM</w:t>
            </w:r>
          </w:p>
        </w:tc>
        <w:tc>
          <w:tcPr>
            <w:tcW w:w="2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800" w:type="dxa"/>
            <w:vAlign w:val="bottom"/>
          </w:tcPr>
          <w:p>
            <w:pPr>
              <w:spacing w:after="0"/>
              <w:rPr>
                <w:sz w:val="17"/>
                <w:szCs w:val="17"/>
                <w:color w:val="auto"/>
              </w:rPr>
            </w:pPr>
          </w:p>
        </w:tc>
        <w:tc>
          <w:tcPr>
            <w:tcW w:w="268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8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77"/>
        </w:trPr>
        <w:tc>
          <w:tcPr>
            <w:tcW w:w="2800" w:type="dxa"/>
            <w:vAlign w:val="bottom"/>
          </w:tcPr>
          <w:p>
            <w:pPr>
              <w:spacing w:after="0"/>
              <w:rPr>
                <w:sz w:val="24"/>
                <w:szCs w:val="24"/>
                <w:color w:val="auto"/>
              </w:rPr>
            </w:pPr>
          </w:p>
        </w:tc>
        <w:tc>
          <w:tcPr>
            <w:tcW w:w="462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Commission File Number 000-50658</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34290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477"/>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40"/>
                <w:szCs w:val="40"/>
                <w:b w:val="1"/>
                <w:bCs w:val="1"/>
                <w:color w:val="auto"/>
                <w:w w:val="98"/>
              </w:rPr>
              <w:t>Marchex,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7660" w:type="dxa"/>
            <w:vAlign w:val="bottom"/>
            <w:gridSpan w:val="9"/>
          </w:tcPr>
          <w:p>
            <w:pPr>
              <w:jc w:val="center"/>
              <w:ind w:right="350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54"/>
        </w:trPr>
        <w:tc>
          <w:tcPr>
            <w:tcW w:w="3580" w:type="dxa"/>
            <w:vAlign w:val="bottom"/>
            <w:vMerge w:val="restart"/>
          </w:tcPr>
          <w:p>
            <w:pPr>
              <w:jc w:val="center"/>
              <w:ind w:left="15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60" w:type="dxa"/>
            <w:vAlign w:val="bottom"/>
            <w:vMerge w:val="restart"/>
          </w:tcPr>
          <w:p>
            <w:pPr>
              <w:jc w:val="right"/>
              <w:ind w:right="2466"/>
              <w:spacing w:after="0"/>
              <w:rPr>
                <w:sz w:val="20"/>
                <w:szCs w:val="20"/>
                <w:color w:val="auto"/>
              </w:rPr>
            </w:pPr>
            <w:r>
              <w:rPr>
                <w:rFonts w:ascii="Times New Roman" w:cs="Times New Roman" w:eastAsia="Times New Roman" w:hAnsi="Times New Roman"/>
                <w:sz w:val="18"/>
                <w:szCs w:val="18"/>
                <w:b w:val="1"/>
                <w:bCs w:val="1"/>
                <w:color w:val="auto"/>
              </w:rPr>
              <w:t>35-2194038</w:t>
            </w:r>
          </w:p>
        </w:tc>
        <w:tc>
          <w:tcPr>
            <w:tcW w:w="0" w:type="dxa"/>
            <w:vAlign w:val="bottom"/>
          </w:tcPr>
          <w:p>
            <w:pPr>
              <w:spacing w:after="0"/>
              <w:rPr>
                <w:sz w:val="1"/>
                <w:szCs w:val="1"/>
                <w:color w:val="auto"/>
              </w:rPr>
            </w:pPr>
          </w:p>
        </w:tc>
      </w:tr>
      <w:tr>
        <w:trPr>
          <w:trHeight w:val="189"/>
        </w:trPr>
        <w:tc>
          <w:tcPr>
            <w:tcW w:w="3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80" w:type="dxa"/>
            <w:vAlign w:val="bottom"/>
          </w:tcPr>
          <w:p>
            <w:pPr>
              <w:jc w:val="center"/>
              <w:ind w:left="1544"/>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tcPr>
          <w:p>
            <w:pPr>
              <w:jc w:val="center"/>
              <w:ind w:right="2206"/>
              <w:spacing w:after="0" w:line="135" w:lineRule="exact"/>
              <w:rPr>
                <w:sz w:val="20"/>
                <w:szCs w:val="20"/>
                <w:color w:val="auto"/>
              </w:rPr>
            </w:pPr>
            <w:r>
              <w:rPr>
                <w:rFonts w:ascii="Times New Roman" w:cs="Times New Roman" w:eastAsia="Times New Roman" w:hAnsi="Times New Roman"/>
                <w:sz w:val="13"/>
                <w:szCs w:val="13"/>
                <w:b w:val="1"/>
                <w:bCs w:val="1"/>
                <w:color w:val="auto"/>
                <w:w w:val="94"/>
              </w:rPr>
              <w:t>(I.R.S Employer</w:t>
            </w:r>
          </w:p>
        </w:tc>
        <w:tc>
          <w:tcPr>
            <w:tcW w:w="0" w:type="dxa"/>
            <w:vAlign w:val="bottom"/>
          </w:tcPr>
          <w:p>
            <w:pPr>
              <w:spacing w:after="0"/>
              <w:rPr>
                <w:sz w:val="1"/>
                <w:szCs w:val="1"/>
                <w:color w:val="auto"/>
              </w:rPr>
            </w:pPr>
          </w:p>
        </w:tc>
      </w:tr>
      <w:tr>
        <w:trPr>
          <w:trHeight w:val="133"/>
        </w:trPr>
        <w:tc>
          <w:tcPr>
            <w:tcW w:w="3580" w:type="dxa"/>
            <w:vAlign w:val="bottom"/>
          </w:tcPr>
          <w:p>
            <w:pPr>
              <w:jc w:val="center"/>
              <w:ind w:left="154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60" w:type="dxa"/>
            <w:vAlign w:val="bottom"/>
          </w:tcPr>
          <w:p>
            <w:pPr>
              <w:jc w:val="center"/>
              <w:ind w:right="220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16"/>
        </w:trPr>
        <w:tc>
          <w:tcPr>
            <w:tcW w:w="3580" w:type="dxa"/>
            <w:vAlign w:val="bottom"/>
          </w:tcPr>
          <w:p>
            <w:pPr>
              <w:jc w:val="center"/>
              <w:ind w:left="1544"/>
              <w:spacing w:after="0"/>
              <w:rPr>
                <w:sz w:val="20"/>
                <w:szCs w:val="20"/>
                <w:color w:val="auto"/>
              </w:rPr>
            </w:pPr>
            <w:r>
              <w:rPr>
                <w:rFonts w:ascii="Times New Roman" w:cs="Times New Roman" w:eastAsia="Times New Roman" w:hAnsi="Times New Roman"/>
                <w:sz w:val="18"/>
                <w:szCs w:val="18"/>
                <w:b w:val="1"/>
                <w:bCs w:val="1"/>
                <w:color w:val="auto"/>
                <w:w w:val="99"/>
              </w:rPr>
              <w:t>1200 5th Ave, Suite 1300,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jc w:val="center"/>
              <w:ind w:left="1544"/>
              <w:spacing w:after="0"/>
              <w:rPr>
                <w:sz w:val="20"/>
                <w:szCs w:val="20"/>
                <w:color w:val="auto"/>
              </w:rPr>
            </w:pPr>
            <w:r>
              <w:rPr>
                <w:rFonts w:ascii="Times New Roman" w:cs="Times New Roman" w:eastAsia="Times New Roman" w:hAnsi="Times New Roman"/>
                <w:sz w:val="18"/>
                <w:szCs w:val="18"/>
                <w:b w:val="1"/>
                <w:bCs w:val="1"/>
                <w:color w:val="auto"/>
                <w:w w:val="99"/>
              </w:rPr>
              <w:t>Seattle, WA</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Pr>
          <w:p>
            <w:pPr>
              <w:jc w:val="right"/>
              <w:ind w:right="2666"/>
              <w:spacing w:after="0"/>
              <w:rPr>
                <w:sz w:val="20"/>
                <w:szCs w:val="20"/>
                <w:color w:val="auto"/>
              </w:rPr>
            </w:pPr>
            <w:r>
              <w:rPr>
                <w:rFonts w:ascii="Times New Roman" w:cs="Times New Roman" w:eastAsia="Times New Roman" w:hAnsi="Times New Roman"/>
                <w:sz w:val="18"/>
                <w:szCs w:val="18"/>
                <w:b w:val="1"/>
                <w:bCs w:val="1"/>
                <w:color w:val="auto"/>
              </w:rPr>
              <w:t>98101</w:t>
            </w:r>
          </w:p>
        </w:tc>
        <w:tc>
          <w:tcPr>
            <w:tcW w:w="0" w:type="dxa"/>
            <w:vAlign w:val="bottom"/>
          </w:tcPr>
          <w:p>
            <w:pPr>
              <w:spacing w:after="0"/>
              <w:rPr>
                <w:sz w:val="1"/>
                <w:szCs w:val="1"/>
                <w:color w:val="auto"/>
              </w:rPr>
            </w:pPr>
          </w:p>
        </w:tc>
      </w:tr>
      <w:tr>
        <w:trPr>
          <w:trHeight w:val="180"/>
        </w:trPr>
        <w:tc>
          <w:tcPr>
            <w:tcW w:w="6940" w:type="dxa"/>
            <w:vAlign w:val="bottom"/>
            <w:gridSpan w:val="7"/>
          </w:tcPr>
          <w:p>
            <w:pPr>
              <w:jc w:val="center"/>
              <w:ind w:right="174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tcPr>
          <w:p>
            <w:pPr>
              <w:jc w:val="center"/>
              <w:ind w:right="2206"/>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46"/>
        </w:trPr>
        <w:tc>
          <w:tcPr>
            <w:tcW w:w="112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(206) 331-3300</w:t>
            </w:r>
          </w:p>
        </w:tc>
        <w:tc>
          <w:tcPr>
            <w:tcW w:w="0" w:type="dxa"/>
            <w:vAlign w:val="bottom"/>
          </w:tcPr>
          <w:p>
            <w:pPr>
              <w:spacing w:after="0"/>
              <w:rPr>
                <w:sz w:val="1"/>
                <w:szCs w:val="1"/>
                <w:color w:val="auto"/>
              </w:rPr>
            </w:pPr>
          </w:p>
        </w:tc>
      </w:tr>
      <w:tr>
        <w:trPr>
          <w:trHeight w:val="205"/>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gridSpan w:val="7"/>
          </w:tcPr>
          <w:p>
            <w:pPr>
              <w:jc w:val="center"/>
              <w:ind w:right="8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580" w:type="dxa"/>
            <w:vAlign w:val="bottom"/>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60" w:type="dxa"/>
            <w:vAlign w:val="bottom"/>
          </w:tcPr>
          <w:p>
            <w:pPr>
              <w:jc w:val="center"/>
              <w:ind w:right="62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38"/>
        </w:trPr>
        <w:tc>
          <w:tcPr>
            <w:tcW w:w="35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Class B Common Stock, $0.01 par value per share</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rPr>
              <w:t>MCHX</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tcPr>
          <w:p>
            <w:pPr>
              <w:jc w:val="center"/>
              <w:ind w:right="646"/>
              <w:spacing w:after="0" w:line="138" w:lineRule="exact"/>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400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660" w:type="dxa"/>
            <w:vAlign w:val="bottom"/>
          </w:tcPr>
          <w:p>
            <w:pPr>
              <w:jc w:val="center"/>
              <w:ind w:right="626"/>
              <w:spacing w:after="0"/>
              <w:rPr>
                <w:sz w:val="20"/>
                <w:szCs w:val="20"/>
                <w:color w:val="auto"/>
              </w:rPr>
            </w:pPr>
            <w:r>
              <w:rPr>
                <w:rFonts w:ascii="Times New Roman" w:cs="Times New Roman" w:eastAsia="Times New Roman" w:hAnsi="Times New Roman"/>
                <w:sz w:val="15"/>
                <w:szCs w:val="15"/>
                <w:color w:val="auto"/>
              </w:rPr>
              <w:t>(NASDAQ Global Select Market)</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4000" w:type="dxa"/>
            <w:vAlign w:val="bottom"/>
            <w:gridSpan w:val="8"/>
            <w:vMerge w:val="continue"/>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9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6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69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4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6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225" w:right="33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60" w:type="dxa"/>
        <w:tblCellMar>
          <w:top w:w="0" w:type="dxa"/>
          <w:left w:w="0" w:type="dxa"/>
          <w:bottom w:w="0" w:type="dxa"/>
          <w:right w:w="0" w:type="dxa"/>
        </w:tblCellMar>
      </w:tblPr>
      <w:tr>
        <w:trPr>
          <w:trHeight w:val="159"/>
        </w:trPr>
        <w:tc>
          <w:tcPr>
            <w:tcW w:w="20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302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4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58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8" w:lineRule="exact"/>
        <w:rPr>
          <w:sz w:val="24"/>
          <w:szCs w:val="24"/>
          <w:color w:val="auto"/>
        </w:rPr>
      </w:pPr>
    </w:p>
    <w:p>
      <w:pPr>
        <w:sectPr>
          <w:pgSz w:w="11900" w:h="16838" w:orient="portrait"/>
          <w:cols w:equalWidth="0" w:num="2">
            <w:col w:w="10740" w:space="200"/>
            <w:col w:w="300"/>
          </w:cols>
          <w:pgMar w:left="320" w:top="225" w:right="339" w:bottom="1440" w:gutter="0" w:footer="0" w:header="0"/>
          <w:type w:val="continuous"/>
        </w:sectPr>
      </w:pPr>
    </w:p>
    <w:p>
      <w:pPr>
        <w:ind w:right="50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 w:leader="none" w:pos="73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460"/>
        <w:spacing w:after="0" w:line="24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Class B common stock on The NASDAQ Stock Market on June 30, 2025 was $74,349,596.</w:t>
      </w:r>
    </w:p>
    <w:p>
      <w:pPr>
        <w:ind w:right="40"/>
        <w:spacing w:after="0" w:line="243" w:lineRule="auto"/>
        <w:rPr>
          <w:sz w:val="20"/>
          <w:szCs w:val="20"/>
          <w:color w:val="auto"/>
        </w:rPr>
      </w:pPr>
      <w:r>
        <w:rPr>
          <w:rFonts w:ascii="Times New Roman" w:cs="Times New Roman" w:eastAsia="Times New Roman" w:hAnsi="Times New Roman"/>
          <w:sz w:val="14"/>
          <w:szCs w:val="14"/>
          <w:color w:val="auto"/>
        </w:rPr>
        <w:t>The number of shares of Registrant’s Class A common stock outstanding as of April 10, 2026 was 4,660,927. The number of shares of Registrant’s Class B common stock outstanding as of April 10, 2026 was 39,636,247.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4"/>
          <w:szCs w:val="14"/>
          <w:color w:val="auto"/>
        </w:rPr>
        <w:t>The following documents (or parts thereof) are incorporated by reference into the following parts of this Form 10-K/A: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Marchex, Inc. (“we,” “us,” “our,” “Marchex,” or "the Company") is filing this Amendment No. 1 on Form 10-K/A (this “Amendment”) to amend our Annual Report on Form 10-K for the fiscal year ended December 31, 2025 (the “Form 10-K”), as originally filed with the United States Securities and Exchange Commission (“SEC”) on March 26, 2026. The purpose of this Amendment is to include Part III information which will be incorporated by reference for our definitive proxy statement for our 2026 Annual Meeting of Stockholders. This information was previously omitted from the 10-K in reliance on General Instruction G(3) to Form 10-K, which permits the Part III information to be incorporated in our Form 10-K by reference from our definitive proxy statement if such statement is filed no later than 120 days after our fiscal year-end. We are filing this Amendment to include Part III information in our Form 10-K because a definitive proxy statement containing such information will not be filed by the Company within 120 days after the end of the fiscal year covered by our Form 10-K. The reference on the cover to the Form 10-K to the incorporation by reference to portions of our definitive proxy statement into Part III of the Form 10-K is hereby deleted.</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Rule 12b-15 under the United States Securities Exchange Act of 1934, as amended, the cover page to the Form 10-K, Part III, Items 10 through 14 of our Form 10-K are hereby amended and restated in their entirety. In addition, a new certification of our principal executive officer ("PEO") and principal financial officer pursuant to Section 302 of the Sarbanes-Oxley Act of 2002 is attached dated as of the filing date of this Amendment. This Amendment does not amend or otherwise update any other information in our 10-K. Accordingly, this Amendment should be read in conjunction with our Form 10-K and with our filings with the SEC subsequent to our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1435735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-5080</wp:posOffset>
            </wp:positionV>
            <wp:extent cx="12319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6"/>
          </w:tcPr>
          <w:p>
            <w:pPr>
              <w:ind w:left="12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Pr>
          <w:p>
            <w:pPr>
              <w:spacing w:after="0"/>
              <w:rPr>
                <w:sz w:val="24"/>
                <w:szCs w:val="24"/>
                <w:color w:val="auto"/>
              </w:rPr>
            </w:pP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3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24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3320" w:type="dxa"/>
            <w:vAlign w:val="bottom"/>
            <w:tcBorders>
              <w:top w:val="single" w:sz="8" w:color="0000FF"/>
            </w:tcBorders>
            <w:gridSpan w:val="3"/>
          </w:tcPr>
          <w:p>
            <w:pPr>
              <w:spacing w:after="0"/>
              <w:rPr>
                <w:sz w:val="24"/>
                <w:szCs w:val="24"/>
                <w:color w:val="auto"/>
              </w:rPr>
            </w:pPr>
          </w:p>
        </w:tc>
        <w:tc>
          <w:tcPr>
            <w:tcW w:w="3520" w:type="dxa"/>
            <w:vAlign w:val="bottom"/>
            <w:gridSpan w:val="3"/>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9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10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20" w:type="dxa"/>
            <w:vAlign w:val="bottom"/>
            <w:tcBorders>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STOCKHOLDER MATTERS</w:t>
            </w:r>
          </w:p>
        </w:tc>
        <w:tc>
          <w:tcPr>
            <w:tcW w:w="20" w:type="dxa"/>
            <w:vAlign w:val="bottom"/>
            <w:tcBorders>
              <w:bottom w:val="single" w:sz="8" w:color="0000EE"/>
            </w:tcBorders>
          </w:tcPr>
          <w:p>
            <w:pPr>
              <w:spacing w:after="0"/>
              <w:rPr>
                <w:sz w:val="17"/>
                <w:szCs w:val="17"/>
                <w:color w:val="auto"/>
              </w:rPr>
            </w:pPr>
          </w:p>
        </w:tc>
        <w:tc>
          <w:tcPr>
            <w:tcW w:w="7100" w:type="dxa"/>
            <w:vAlign w:val="bottom"/>
            <w:gridSpan w:val="8"/>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2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78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560" w:type="dxa"/>
            <w:vAlign w:val="bottom"/>
            <w:gridSpan w:val="2"/>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3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124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31"/>
        </w:trPr>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6"/>
          </w:tcPr>
          <w:p>
            <w:pPr>
              <w:ind w:left="1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Pr>
          <w:p>
            <w:pPr>
              <w:spacing w:after="0"/>
              <w:rPr>
                <w:sz w:val="24"/>
                <w:szCs w:val="24"/>
                <w:color w:val="auto"/>
              </w:rPr>
            </w:pP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3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24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In Marchex’s filings with the SEC, information is sometimes "incorporated by reference." This means that we refer the user to information previously filed with the SEC that should be considered as part of the particular filing. In addition, this Amendment includes a website address. This website address is intended to provide inactive, textual references only. The information on this website is not part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1139190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currently consists of five (5) individuals. Directors are elected to hold office until the next Annual Meeting of stockholders and until their respective successors have been elected and qualified. The names, ages, and tenures of our directors are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Borders>
              <w:bottom w:val="single" w:sz="8" w:color="auto"/>
            </w:tcBorders>
          </w:tcPr>
          <w:p>
            <w:pPr>
              <w:jc w:val="center"/>
              <w:ind w:left="973"/>
              <w:spacing w:after="0"/>
              <w:rPr>
                <w:sz w:val="20"/>
                <w:szCs w:val="20"/>
                <w:color w:val="auto"/>
              </w:rPr>
            </w:pPr>
            <w:r>
              <w:rPr>
                <w:rFonts w:ascii="Times New Roman" w:cs="Times New Roman" w:eastAsia="Times New Roman" w:hAnsi="Times New Roman"/>
                <w:sz w:val="14"/>
                <w:szCs w:val="14"/>
                <w:b w:val="1"/>
                <w:bCs w:val="1"/>
                <w:color w:val="auto"/>
              </w:rPr>
              <w:t>Age</w:t>
            </w:r>
          </w:p>
        </w:tc>
        <w:tc>
          <w:tcPr>
            <w:tcW w:w="22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7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Arends</w:t>
            </w:r>
          </w:p>
        </w:tc>
        <w:tc>
          <w:tcPr>
            <w:tcW w:w="1900" w:type="dxa"/>
            <w:vAlign w:val="bottom"/>
            <w:shd w:val="clear" w:color="auto" w:fill="CFF0FC"/>
          </w:tcPr>
          <w:p>
            <w:pPr>
              <w:jc w:val="center"/>
              <w:ind w:left="993"/>
              <w:spacing w:after="0"/>
              <w:rPr>
                <w:sz w:val="20"/>
                <w:szCs w:val="20"/>
                <w:color w:val="auto"/>
              </w:rPr>
            </w:pPr>
            <w:r>
              <w:rPr>
                <w:rFonts w:ascii="Times New Roman" w:cs="Times New Roman" w:eastAsia="Times New Roman" w:hAnsi="Times New Roman"/>
                <w:sz w:val="18"/>
                <w:szCs w:val="18"/>
                <w:color w:val="auto"/>
                <w:w w:val="99"/>
              </w:rPr>
              <w:t>55</w:t>
            </w:r>
          </w:p>
        </w:tc>
        <w:tc>
          <w:tcPr>
            <w:tcW w:w="2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Vice Chairman</w:t>
            </w:r>
          </w:p>
        </w:tc>
        <w:tc>
          <w:tcPr>
            <w:tcW w:w="37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February 2023</w:t>
            </w:r>
          </w:p>
        </w:tc>
      </w:tr>
      <w:tr>
        <w:trPr>
          <w:trHeight w:val="216"/>
        </w:trPr>
        <w:tc>
          <w:tcPr>
            <w:tcW w:w="3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Dennis Cline </w:t>
            </w:r>
            <w:r>
              <w:rPr>
                <w:rFonts w:ascii="Times New Roman" w:cs="Times New Roman" w:eastAsia="Times New Roman" w:hAnsi="Times New Roman"/>
                <w:sz w:val="24"/>
                <w:szCs w:val="24"/>
                <w:color w:val="auto"/>
                <w:vertAlign w:val="superscript"/>
              </w:rPr>
              <w:t>(1)(2)(3)</w:t>
            </w:r>
          </w:p>
        </w:tc>
        <w:tc>
          <w:tcPr>
            <w:tcW w:w="190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w w:val="99"/>
              </w:rPr>
              <w:t>65</w:t>
            </w:r>
          </w:p>
        </w:tc>
        <w:tc>
          <w:tcPr>
            <w:tcW w:w="2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May 2003</w:t>
            </w:r>
          </w:p>
        </w:tc>
      </w:tr>
      <w:tr>
        <w:trPr>
          <w:trHeight w:val="216"/>
        </w:trPr>
        <w:tc>
          <w:tcPr>
            <w:tcW w:w="3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Donald Cogsville </w:t>
            </w:r>
            <w:r>
              <w:rPr>
                <w:rFonts w:ascii="Times New Roman" w:cs="Times New Roman" w:eastAsia="Times New Roman" w:hAnsi="Times New Roman"/>
                <w:sz w:val="24"/>
                <w:szCs w:val="24"/>
                <w:color w:val="auto"/>
                <w:vertAlign w:val="superscript"/>
              </w:rPr>
              <w:t>(1)(2)(3)</w:t>
            </w:r>
          </w:p>
        </w:tc>
        <w:tc>
          <w:tcPr>
            <w:tcW w:w="1900" w:type="dxa"/>
            <w:vAlign w:val="bottom"/>
            <w:shd w:val="clear" w:color="auto" w:fill="CFF0FC"/>
          </w:tcPr>
          <w:p>
            <w:pPr>
              <w:jc w:val="center"/>
              <w:ind w:left="993"/>
              <w:spacing w:after="0"/>
              <w:rPr>
                <w:sz w:val="20"/>
                <w:szCs w:val="20"/>
                <w:color w:val="auto"/>
              </w:rPr>
            </w:pPr>
            <w:r>
              <w:rPr>
                <w:rFonts w:ascii="Times New Roman" w:cs="Times New Roman" w:eastAsia="Times New Roman" w:hAnsi="Times New Roman"/>
                <w:sz w:val="18"/>
                <w:szCs w:val="18"/>
                <w:color w:val="auto"/>
                <w:w w:val="99"/>
              </w:rPr>
              <w:t>60</w:t>
            </w:r>
          </w:p>
        </w:tc>
        <w:tc>
          <w:tcPr>
            <w:tcW w:w="2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April 2019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Russell Horowitz</w:t>
            </w:r>
          </w:p>
        </w:tc>
        <w:tc>
          <w:tcPr>
            <w:tcW w:w="190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w w:val="99"/>
              </w:rPr>
              <w:t>59</w:t>
            </w:r>
          </w:p>
        </w:tc>
        <w:tc>
          <w:tcPr>
            <w:tcW w:w="2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Chairman</w:t>
            </w:r>
          </w:p>
        </w:tc>
        <w:tc>
          <w:tcPr>
            <w:tcW w:w="3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August 2017</w:t>
            </w:r>
          </w:p>
        </w:tc>
      </w:tr>
      <w:tr>
        <w:trPr>
          <w:trHeight w:val="216"/>
        </w:trPr>
        <w:tc>
          <w:tcPr>
            <w:tcW w:w="3300" w:type="dxa"/>
            <w:vAlign w:val="bottom"/>
            <w:tcBorders>
              <w:bottom w:val="single" w:sz="8" w:color="auto"/>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 Wayne Wisehart </w:t>
            </w:r>
            <w:r>
              <w:rPr>
                <w:rFonts w:ascii="Times New Roman" w:cs="Times New Roman" w:eastAsia="Times New Roman" w:hAnsi="Times New Roman"/>
                <w:sz w:val="24"/>
                <w:szCs w:val="24"/>
                <w:color w:val="auto"/>
                <w:vertAlign w:val="superscript"/>
              </w:rPr>
              <w:t>(1)(2)(3)</w:t>
            </w:r>
          </w:p>
        </w:tc>
        <w:tc>
          <w:tcPr>
            <w:tcW w:w="1900" w:type="dxa"/>
            <w:vAlign w:val="bottom"/>
            <w:tcBorders>
              <w:bottom w:val="single" w:sz="8" w:color="auto"/>
            </w:tcBorders>
            <w:shd w:val="clear" w:color="auto" w:fill="CFF0FC"/>
          </w:tcPr>
          <w:p>
            <w:pPr>
              <w:jc w:val="center"/>
              <w:ind w:left="993"/>
              <w:spacing w:after="0"/>
              <w:rPr>
                <w:sz w:val="20"/>
                <w:szCs w:val="20"/>
                <w:color w:val="auto"/>
              </w:rPr>
            </w:pPr>
            <w:r>
              <w:rPr>
                <w:rFonts w:ascii="Times New Roman" w:cs="Times New Roman" w:eastAsia="Times New Roman" w:hAnsi="Times New Roman"/>
                <w:sz w:val="18"/>
                <w:szCs w:val="18"/>
                <w:color w:val="auto"/>
                <w:w w:val="99"/>
              </w:rPr>
              <w:t>80</w:t>
            </w:r>
          </w:p>
        </w:tc>
        <w:tc>
          <w:tcPr>
            <w:tcW w:w="226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Director</w:t>
            </w:r>
          </w:p>
        </w:tc>
        <w:tc>
          <w:tcPr>
            <w:tcW w:w="378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November 2008</w:t>
            </w:r>
          </w:p>
        </w:tc>
      </w:tr>
    </w:tbl>
    <w:p>
      <w:pPr>
        <w:spacing w:after="0" w:line="20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Governance Committee</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23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business experience of each current director, including a discussion of the specific experience, qualifications, attributes and skills that led our Board of Directors to conclude that those individuals should serve as our directors:</w:t>
      </w:r>
    </w:p>
    <w:p>
      <w:pPr>
        <w:spacing w:after="0" w:line="158"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Michael Arends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Arends has served as our Vice Chairman since February 2023. Mr. Arends served as our Co-Chief Executive Officer ("CEO"),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previously as a member of the Office of the CEO from October 2016 to February 2023, and served as our Chief Financial Officer ("CFO") from May 2003 through April 2021. Prior to joining Marchex, Mr. Arends held various positions at KPMG LLP since 1992, most recently as a Partner in KPMG’s Pacific Northwest Information, Communications, and Entertainment assurance practice. Mr. Arends is a Certified Public Accountant ("CPA") and a Chartered Accountant and received a Bachelor's of Commerce degree from the University of Alberta. Mr. Arends brings historic knowledge and continuity together with extensive operational, finance, accounting, and transactional experience to the board.</w:t>
      </w:r>
    </w:p>
    <w:p>
      <w:pPr>
        <w:spacing w:after="0" w:line="1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Dennis Cline</w:t>
      </w:r>
      <w:r>
        <w:rPr>
          <w:rFonts w:ascii="Times New Roman" w:cs="Times New Roman" w:eastAsia="Times New Roman" w:hAnsi="Times New Roman"/>
          <w:sz w:val="18"/>
          <w:szCs w:val="18"/>
          <w:color w:val="auto"/>
        </w:rPr>
        <w:t>. Mr. Cline has served as a member of our Board of Directors since May 2003. Previously, Mr. Cline served on the board of advisors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Blackstratus, a provider of security information event management products and services from 2014 through 2019. Mr. Cline served on the board of directors of TraceSecurity, a provider of cloud-based security solutions, from 2003 to 2015. From 2004 to 2006, Mr. Cline served as CEO and Executive Chairman of netForensics, a provider of security event information management. Prior to joining netForensics as its CEO, Mr. Cline was Managing Partner of DMC Investments, a firm he founded in 2000, which provides capital and consulting services to technology companies. From 1988 to 2000, Mr. Cline was the CEO of DirectWeb, a provider of computer hardware and Internet access for consumers. Prior to DirectWeb, Mr. Cline was a senior executive at Network Associates, a provider of computer security solutions. Mr. Cline received his J.D. from Rutgers School of Law and his B.A. from Rutgers University. Mr. Cline brings extensive governance, marketing, sales and broad management expertise to the board.</w:t>
      </w:r>
    </w:p>
    <w:p>
      <w:pPr>
        <w:spacing w:after="0" w:line="18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Donald Cogsville</w:t>
      </w:r>
      <w:r>
        <w:rPr>
          <w:rFonts w:ascii="Times New Roman" w:cs="Times New Roman" w:eastAsia="Times New Roman" w:hAnsi="Times New Roman"/>
          <w:sz w:val="18"/>
          <w:szCs w:val="18"/>
          <w:color w:val="auto"/>
        </w:rPr>
        <w:t>. Mr. Cogsville has served as a member of our Board of Directors since April 2019. Mr. Cogsville is the CEO of The Cogsville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Group, LLC, a New York-based, private equity real estate investment firm founded in 2007. Mr. Cogsville began his career as an attorney in the Structured Finance Group at Skadden, Arps, Slate, Meagher &amp; Flom LLP. Subsequently, Mr. Cogsville joined the Leveraged Finance Group at Merrill Lynch as an investment banker. Additionally, Mr. Cogsville serves or has served on the Board of Visitors of University of North Carolina, The New York Urban League, Jazz at Lincoln Center, The Amsterdam News Editorial Board, and founded the non-partisan voter registration initiative, Citizen Change. Mr. Cogsville received his J.D. from Rutgers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School of Law and his B.A. from University of North Carolina at Chapel Hill. Mr. Cogsville brings extensive operational, finance and transactional experience to the board.</w:t>
      </w:r>
    </w:p>
    <w:p>
      <w:pPr>
        <w:spacing w:after="0" w:line="15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Russell Horowitz</w:t>
      </w:r>
      <w:r>
        <w:rPr>
          <w:rFonts w:ascii="Times New Roman" w:cs="Times New Roman" w:eastAsia="Times New Roman" w:hAnsi="Times New Roman"/>
          <w:sz w:val="18"/>
          <w:szCs w:val="18"/>
          <w:color w:val="auto"/>
        </w:rPr>
        <w:t>. Mr. Horowitz is a founder of our Company and has served as our Chairman since April 2019. Mr. Horowitz served as our Co-CEO, including previously as a member of the Office of the CEO from October 2016 to February 2023. Previously, Mr. Horowitz served as our Executive Director since August 2017. Immediately prior, Mr. Horowitz, served as a consultant to the Company from May of 2016 through August 2017. Prior to serving as a consultant to the Company, Mr. Horowitz served as Executive Director from February 2015 to May 2016 and as CEO, Treasurer, and Chairman of the Board from inception to February 2015. Mr. Horowitz was previously a founder of Go2Net, a provider of online services to merchants and consumers, including merchant Web hosting, online payment authorization technology, and Web search and directory services. He served as its Chairman and CEO from its inception in February 1996 until its merger with InfoSpace in October 2000, at which time Mr. Horowitz served as the Vice Chairman and President of the combined company through the merger integration process. Additionally, Mr. Horowitz served as the CFO of Go2Net from its inception until May 2000. Prior to Go2Net, Mr. Horowitz served as the CEO and a director of Xanthus Management, LLC, the general partner of Xanthus Capital, a merchant bank focused on investments in early-stage companies, and was a founder and CFO of Active Apparel Group, now Everlast Worldwide. Mr. Horowitz received a Bachelor's in Economics from Columbia College of Columbia University. Mr. Horowitz brings historic knowledge and continuity together with extensive operational and industry expertise to the board.</w:t>
      </w:r>
    </w:p>
    <w:p>
      <w:pPr>
        <w:spacing w:after="0" w:line="19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 Wayne Wisehart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Wisehart has served as a member of our Board of Directors since November 2008. From February 2010 to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2010, Mr. Wisehart served as CFO for All Star Directories, a publisher of online and career school directories. Mr. Wisehart previously served as the CFO of aQuantive, Inc. (formerly Avenue A Media, Inc.), a leading global digital marketing company, which was acquired by Microsoft in August 2007. Prior to aQuantive, Mr. Wisehart served as CFO of Western Wireless Corporation, a cellular phone service provider, which was acquired by Alltel in August 2005. Mr. Wisehart also served as the CFO from 2000 to 2002 of iNNERHOST, Inc., a Web hosting services company, as President and CEO from 1999 to 2000 of TeleDirect International Inc., a company that provides customer interaction systems, and as the President and CEO from 1997 to 1998 of Price Communications Wireless. Mr. Wisehart received a B.S. degree in Business from the University of Missouri-St. Louis. Mr. Wisehart brings extensive financial and accounting expertise to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named executive officers ("NEOs"), their positions with the Company and ages,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60" w:type="dxa"/>
            <w:vAlign w:val="bottom"/>
            <w:tcBorders>
              <w:bottom w:val="single" w:sz="8" w:color="auto"/>
            </w:tcBorders>
          </w:tcPr>
          <w:p>
            <w:pPr>
              <w:jc w:val="center"/>
              <w:ind w:left="1374"/>
              <w:spacing w:after="0"/>
              <w:rPr>
                <w:sz w:val="20"/>
                <w:szCs w:val="20"/>
                <w:color w:val="auto"/>
              </w:rPr>
            </w:pPr>
            <w:r>
              <w:rPr>
                <w:rFonts w:ascii="Times New Roman" w:cs="Times New Roman" w:eastAsia="Times New Roman" w:hAnsi="Times New Roman"/>
                <w:sz w:val="14"/>
                <w:szCs w:val="14"/>
                <w:b w:val="1"/>
                <w:bCs w:val="1"/>
                <w:color w:val="auto"/>
              </w:rPr>
              <w:t>Age</w:t>
            </w:r>
          </w:p>
        </w:tc>
        <w:tc>
          <w:tcPr>
            <w:tcW w:w="5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Troy Hartless</w:t>
            </w:r>
          </w:p>
        </w:tc>
        <w:tc>
          <w:tcPr>
            <w:tcW w:w="2460" w:type="dxa"/>
            <w:vAlign w:val="bottom"/>
            <w:shd w:val="clear" w:color="auto" w:fill="CFF0FC"/>
          </w:tcPr>
          <w:p>
            <w:pPr>
              <w:jc w:val="center"/>
              <w:ind w:left="1354"/>
              <w:spacing w:after="0"/>
              <w:rPr>
                <w:sz w:val="20"/>
                <w:szCs w:val="20"/>
                <w:color w:val="auto"/>
              </w:rPr>
            </w:pPr>
            <w:r>
              <w:rPr>
                <w:rFonts w:ascii="Times New Roman" w:cs="Times New Roman" w:eastAsia="Times New Roman" w:hAnsi="Times New Roman"/>
                <w:sz w:val="18"/>
                <w:szCs w:val="18"/>
                <w:color w:val="auto"/>
                <w:w w:val="99"/>
              </w:rPr>
              <w:t>55</w:t>
            </w:r>
          </w:p>
        </w:tc>
        <w:tc>
          <w:tcPr>
            <w:tcW w:w="5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President &amp; Chief Revenue Officer ("CRO")</w:t>
            </w:r>
          </w:p>
        </w:tc>
        <w:tc>
          <w:tcPr>
            <w:tcW w:w="0" w:type="dxa"/>
            <w:vAlign w:val="bottom"/>
          </w:tcPr>
          <w:p>
            <w:pPr>
              <w:spacing w:after="0"/>
              <w:rPr>
                <w:sz w:val="1"/>
                <w:szCs w:val="1"/>
                <w:color w:val="auto"/>
              </w:rPr>
            </w:pPr>
          </w:p>
        </w:tc>
      </w:tr>
      <w:tr>
        <w:trPr>
          <w:trHeight w:val="198"/>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Francis Feeney</w:t>
            </w:r>
          </w:p>
        </w:tc>
        <w:tc>
          <w:tcPr>
            <w:tcW w:w="2460" w:type="dxa"/>
            <w:vAlign w:val="bottom"/>
            <w:vMerge w:val="restart"/>
          </w:tcPr>
          <w:p>
            <w:pPr>
              <w:jc w:val="center"/>
              <w:ind w:left="1354"/>
              <w:spacing w:after="0"/>
              <w:rPr>
                <w:sz w:val="20"/>
                <w:szCs w:val="20"/>
                <w:color w:val="auto"/>
              </w:rPr>
            </w:pPr>
            <w:r>
              <w:rPr>
                <w:rFonts w:ascii="Times New Roman" w:cs="Times New Roman" w:eastAsia="Times New Roman" w:hAnsi="Times New Roman"/>
                <w:sz w:val="18"/>
                <w:szCs w:val="18"/>
                <w:color w:val="auto"/>
                <w:w w:val="99"/>
              </w:rPr>
              <w:t>67</w:t>
            </w:r>
          </w:p>
        </w:tc>
        <w:tc>
          <w:tcPr>
            <w:tcW w:w="568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Chief Operating Officer ("COO"), Chief Legal Officer ("CLO"), &amp;</w:t>
            </w:r>
          </w:p>
        </w:tc>
        <w:tc>
          <w:tcPr>
            <w:tcW w:w="0" w:type="dxa"/>
            <w:vAlign w:val="bottom"/>
          </w:tcPr>
          <w:p>
            <w:pPr>
              <w:spacing w:after="0"/>
              <w:rPr>
                <w:sz w:val="1"/>
                <w:szCs w:val="1"/>
                <w:color w:val="auto"/>
              </w:rPr>
            </w:pPr>
          </w:p>
        </w:tc>
      </w:tr>
      <w:tr>
        <w:trPr>
          <w:trHeight w:val="126"/>
        </w:trPr>
        <w:tc>
          <w:tcPr>
            <w:tcW w:w="310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56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Corporate Secretary</w:t>
            </w:r>
          </w:p>
        </w:tc>
        <w:tc>
          <w:tcPr>
            <w:tcW w:w="0" w:type="dxa"/>
            <w:vAlign w:val="bottom"/>
          </w:tcPr>
          <w:p>
            <w:pPr>
              <w:spacing w:after="0"/>
              <w:rPr>
                <w:sz w:val="1"/>
                <w:szCs w:val="1"/>
                <w:color w:val="auto"/>
              </w:rPr>
            </w:pPr>
          </w:p>
        </w:tc>
      </w:tr>
      <w:tr>
        <w:trPr>
          <w:trHeight w:val="108"/>
        </w:trPr>
        <w:tc>
          <w:tcPr>
            <w:tcW w:w="3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5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Nagle</w:t>
            </w:r>
          </w:p>
        </w:tc>
        <w:tc>
          <w:tcPr>
            <w:tcW w:w="2460" w:type="dxa"/>
            <w:vAlign w:val="bottom"/>
            <w:shd w:val="clear" w:color="auto" w:fill="CFF0FC"/>
          </w:tcPr>
          <w:p>
            <w:pPr>
              <w:jc w:val="center"/>
              <w:ind w:left="1354"/>
              <w:spacing w:after="0"/>
              <w:rPr>
                <w:sz w:val="20"/>
                <w:szCs w:val="20"/>
                <w:color w:val="auto"/>
              </w:rPr>
            </w:pPr>
            <w:r>
              <w:rPr>
                <w:rFonts w:ascii="Times New Roman" w:cs="Times New Roman" w:eastAsia="Times New Roman" w:hAnsi="Times New Roman"/>
                <w:sz w:val="18"/>
                <w:szCs w:val="18"/>
                <w:color w:val="auto"/>
                <w:w w:val="99"/>
              </w:rPr>
              <w:t>40</w:t>
            </w:r>
          </w:p>
        </w:tc>
        <w:tc>
          <w:tcPr>
            <w:tcW w:w="5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CFO</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Russell Horowitz</w:t>
            </w:r>
          </w:p>
        </w:tc>
        <w:tc>
          <w:tcPr>
            <w:tcW w:w="2460" w:type="dxa"/>
            <w:vAlign w:val="bottom"/>
            <w:tcBorders>
              <w:bottom w:val="single" w:sz="8" w:color="auto"/>
            </w:tcBorders>
          </w:tcPr>
          <w:p>
            <w:pPr>
              <w:jc w:val="center"/>
              <w:ind w:left="1354"/>
              <w:spacing w:after="0"/>
              <w:rPr>
                <w:sz w:val="20"/>
                <w:szCs w:val="20"/>
                <w:color w:val="auto"/>
              </w:rPr>
            </w:pPr>
            <w:r>
              <w:rPr>
                <w:rFonts w:ascii="Times New Roman" w:cs="Times New Roman" w:eastAsia="Times New Roman" w:hAnsi="Times New Roman"/>
                <w:sz w:val="18"/>
                <w:szCs w:val="18"/>
                <w:color w:val="auto"/>
                <w:w w:val="99"/>
              </w:rPr>
              <w:t>59</w:t>
            </w:r>
          </w:p>
        </w:tc>
        <w:tc>
          <w:tcPr>
            <w:tcW w:w="56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Biographical information for our executive officers is set forth below:</w:t>
      </w:r>
    </w:p>
    <w:p>
      <w:pPr>
        <w:spacing w:after="0" w:line="221" w:lineRule="exact"/>
        <w:rPr>
          <w:sz w:val="20"/>
          <w:szCs w:val="20"/>
          <w:color w:val="auto"/>
        </w:rPr>
      </w:pPr>
    </w:p>
    <w:p>
      <w:pPr>
        <w:jc w:val="both"/>
        <w:ind w:right="1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Troy Hartless</w:t>
      </w:r>
      <w:r>
        <w:rPr>
          <w:rFonts w:ascii="Times New Roman" w:cs="Times New Roman" w:eastAsia="Times New Roman" w:hAnsi="Times New Roman"/>
          <w:sz w:val="18"/>
          <w:szCs w:val="18"/>
          <w:color w:val="auto"/>
        </w:rPr>
        <w:t>. Mr. Hartless has served as our President and CRO since September 2025, after joining the Company as CRO in April 2023.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joining Marchex, Mr. Hartless was the CEO of TLJ Capital since 2009. During his time at TLJ Capital, Mr. Hartless was also the COO of Govplace, Inc. from 2019 to 2020, CRO of 9Lenses from 2017 to 2019, and CRO of Callis Communications from 2012 to 2014. Prior to TLJ Capital and the above, Mr. Hartless was the CEO of Secure Data in Motion from 2006 to 2008 and COO of Infodata Systems, in addition to several other executive positions. Mr.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Hartless received a Bachelor's of Science, Business Administration degree from Liberty University.</w:t>
      </w:r>
    </w:p>
    <w:p>
      <w:pPr>
        <w:spacing w:after="0" w:line="203" w:lineRule="exact"/>
        <w:rPr>
          <w:sz w:val="20"/>
          <w:szCs w:val="20"/>
          <w:color w:val="auto"/>
        </w:rPr>
      </w:pPr>
    </w:p>
    <w:p>
      <w:pPr>
        <w:ind w:right="2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Francis Feeney. </w:t>
      </w:r>
      <w:r>
        <w:rPr>
          <w:rFonts w:ascii="Times New Roman" w:cs="Times New Roman" w:eastAsia="Times New Roman" w:hAnsi="Times New Roman"/>
          <w:sz w:val="18"/>
          <w:szCs w:val="18"/>
          <w:color w:val="auto"/>
        </w:rPr>
        <w:t>Mr. Feeney has served as our COO, CLO, &amp; Corporate Secretary since September 2025, after joining the Company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&amp; Strategic Affairs Officer in October 2018. Prior to joining Marchex, Mr. Feeney served as a senior partner at DLA Piper LLP (U.S.) in its Corporate, Securities, and Finance practice from 2005 to 2018. Prior to DLA, Mr. Feeney had senior leadership roles at several other national law firms. Mr.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Feeney has been the Company's chief legal advisor since its inception in 2003. Mr. Feeney received his J.D. from the Georgetown University Law Center and his Bachelor's of Science, Pre-Law degree from Northeastern University.</w:t>
      </w:r>
    </w:p>
    <w:p>
      <w:pPr>
        <w:spacing w:after="0" w:line="158"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Brian Nagle</w:t>
      </w:r>
      <w:r>
        <w:rPr>
          <w:rFonts w:ascii="Times New Roman" w:cs="Times New Roman" w:eastAsia="Times New Roman" w:hAnsi="Times New Roman"/>
          <w:sz w:val="18"/>
          <w:szCs w:val="18"/>
          <w:color w:val="auto"/>
        </w:rPr>
        <w:t>. Mr. Nagle has served as our CFO since September 2025, after joining the Company as the Corporate Controller in August 2024.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joining Marchex, Mr. Nagle served as the Vice President of Financial Reporting at Seekr Technologies from 2022 to 2024. Prior to Seekr Technologies; Director of SEC Reporting and Technical Accounting at Emergent BioSolutions from 2021 to 2022 and previously as Senior Manager of SEC Reporting and Technical Accounting from 2019 to 2021; and held several positions at KPMG LLP from 2008 to 2019, most recently as Senior Manager, Audit. Mr. Nagle holds degrees in Accounting and Corporate Finance from Salisbury University and is a licensed CPA.</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Russell Horowitz</w:t>
      </w:r>
      <w:r>
        <w:rPr>
          <w:rFonts w:ascii="Times New Roman" w:cs="Times New Roman" w:eastAsia="Times New Roman" w:hAnsi="Times New Roman"/>
          <w:sz w:val="18"/>
          <w:szCs w:val="18"/>
          <w:color w:val="auto"/>
        </w:rPr>
        <w:t>. Refer to director's biographical information documented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Section 16(a) Beneficial Ownership Reporting Compliance</w:t>
      </w:r>
      <w:r>
        <w:rPr>
          <w:rFonts w:ascii="Times New Roman" w:cs="Times New Roman" w:eastAsia="Times New Roman" w:hAnsi="Times New Roman"/>
          <w:sz w:val="18"/>
          <w:szCs w:val="18"/>
          <w:color w:val="auto"/>
        </w:rPr>
        <w:t>. Section 16(a) of the Securities Exchange Act of 1934 requires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officers and persons who beneficially own more than 10% of a registered class of the Company’s equity securities to file with the SEC initial reports of ownership and reports of changes in ownership. Directors, officers and 10% stockholders are required by SEC regulations to furnish the Company with copies of all Section 16(a) reports they file. Based solely on review of the copies of such reports the Company has received, or written representations that no other reports were required for those persons, the Company believes that its directors, officers and 10% stockholders complied with all applicable filing requirements during 2025.</w:t>
      </w:r>
    </w:p>
    <w:p>
      <w:pPr>
        <w:spacing w:after="0" w:line="182"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adopted a code of conduct applicable to each of the Company’s officers, directors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employees, and a code of ethics applicable to the Company’s President, COO, CFO, and senior financial officers, as contemplated by Section 406 of the Sarbanes-Oxley Act of 2002 and both codes are available on our website at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Audit Committee is currently comprised of Messrs. Cline, Cogsville, and Wisehart (Chair). Each of the members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Audit Committee is independent for purposes of the NASDAQ listing standards as they apply to Audit Committee members and each member of the Audit Committee is an Audit Committee financial expert, as defined in the rules of the SEC. The Audit Committee operates under a charter that is available on our website at </w:t>
      </w:r>
      <w:r>
        <w:rPr>
          <w:rFonts w:ascii="Times New Roman" w:cs="Times New Roman" w:eastAsia="Times New Roman" w:hAnsi="Times New Roman"/>
          <w:sz w:val="18"/>
          <w:szCs w:val="18"/>
          <w:i w:val="1"/>
          <w:iCs w:val="1"/>
          <w:color w:val="auto"/>
        </w:rPr>
        <w:t>www.marchex.com</w:t>
      </w:r>
      <w:r>
        <w:rPr>
          <w:rFonts w:ascii="Times New Roman" w:cs="Times New Roman" w:eastAsia="Times New Roman" w:hAnsi="Times New Roman"/>
          <w:sz w:val="18"/>
          <w:szCs w:val="18"/>
          <w:color w:val="auto"/>
        </w:rPr>
        <w:t>. The functions of the Audit Committee include reviewing, with the Company’s independent registered public accounting firm, the scope and timing of the independent registered public accounting firm’s services, the independent registered public accounting firm’s report on the Company’s consolidated financial statements and internal control over financial reporting following completion of the Company’s audits, and the Company’s internal accounting and financial control policies and procedures, and making annual recommendations to the Board of Directors for the appointment of an independent registered public accounting firm for the ensuing year. The Audit Committee held nine meetings and took action by written consent on one occasion during the year ended December 31, 2025.</w:t>
      </w:r>
    </w:p>
    <w:p>
      <w:pPr>
        <w:spacing w:after="0" w:line="188" w:lineRule="exact"/>
        <w:rPr>
          <w:sz w:val="20"/>
          <w:szCs w:val="20"/>
          <w:color w:val="auto"/>
        </w:rPr>
      </w:pPr>
    </w:p>
    <w:p>
      <w:pPr>
        <w:ind w:right="100" w:firstLine="27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for Securities Transactions. </w:t>
      </w:r>
      <w:r>
        <w:rPr>
          <w:rFonts w:ascii="Times New Roman" w:cs="Times New Roman" w:eastAsia="Times New Roman" w:hAnsi="Times New Roman"/>
          <w:sz w:val="18"/>
          <w:szCs w:val="18"/>
          <w:color w:val="auto"/>
        </w:rPr>
        <w:t>We have adopted policies and procedures governing the purchase and sale of our securities that are applicable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officers, and employees. Our securities trading policies and procedures are designed to promote compliance with insider trading laws in accordance with SEC and NASDAQ rules, and also prohibit or discourage transactions that would hedge the risk of ownership of our equity securities or involve the pledging our equity securities.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Stockholder Say-on-Pay Votes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we last held a stockholder advisory vote to approve the compensation of our NEOs as determined pursuant to SEC Regulation S-K Item 402 (the “say-on-pay proposal”). Our stockholders overwhelmingly approved the compensation of our NEOs, with approximately 95% of stockholder votes cast in favor of the say-on-pay proposal. The Compensation Committee believes this affirms the stockholders’ support of our approach to executive compensation and did not change its approach in 2025.</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Compensation Committee will continue to consider the outcome of our say-on-pay votes when making future compensation decisions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5"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color w:val="auto"/>
        </w:rPr>
        <w:t xml:space="preserve">You can find detailed information regarding the compensation we paid to our NEOs in the table following the </w:t>
      </w: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color w:val="auto"/>
        </w:rPr>
        <w:t xml:space="preserve"> section of this Amendment below.</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executive compensation programs are intended to serve two related goals:</w:t>
      </w:r>
    </w:p>
    <w:p>
      <w:pPr>
        <w:spacing w:after="0" w:line="113" w:lineRule="exact"/>
        <w:rPr>
          <w:sz w:val="20"/>
          <w:szCs w:val="20"/>
          <w:color w:val="auto"/>
        </w:rPr>
      </w:pPr>
    </w:p>
    <w:p>
      <w:pPr>
        <w:ind w:left="1020" w:right="26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Retention of our Strong Management Team</w:t>
      </w:r>
      <w:r>
        <w:rPr>
          <w:rFonts w:ascii="Times New Roman" w:cs="Times New Roman" w:eastAsia="Times New Roman" w:hAnsi="Times New Roman"/>
          <w:sz w:val="18"/>
          <w:szCs w:val="18"/>
          <w:color w:val="auto"/>
        </w:rPr>
        <w:t>. We believe that our continued success depends on our ability to retain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complementary and dedicated management team. Although we always consider the ultimate interest of our stockholders in setting NEO compensation, we also must acknowledge that our executives face many career options and we therefore must provide strong incentives for them to continue to participate in our growth.</w:t>
      </w:r>
    </w:p>
    <w:p>
      <w:pPr>
        <w:spacing w:after="0" w:line="68"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Growth in Stockholder Value</w:t>
      </w:r>
      <w:r>
        <w:rPr>
          <w:rFonts w:ascii="Times New Roman" w:cs="Times New Roman" w:eastAsia="Times New Roman" w:hAnsi="Times New Roman"/>
          <w:sz w:val="18"/>
          <w:szCs w:val="18"/>
          <w:color w:val="auto"/>
        </w:rPr>
        <w:t>. We believe that management compensation packages should reflect as much as possible the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opportunity experienced by our stockholders. As a result, we strongly emphasize performance-based compensation arrangements, which reward NEOs for contributions to our long-term growth and overall corporate success.</w:t>
      </w:r>
    </w:p>
    <w:p>
      <w:pPr>
        <w:spacing w:after="0" w:line="6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this long-term focus will appropriately reward our management team for performance that will most benefit our Company and stockholders. We think that a focus on shorter-term results could inappropriately over- or under-compensate our executives due to short-term fluctuations that do not as accurately reflect our corporate growth and the corresponding benefit to our stockholders.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Compensation Committee is responsible for setting the compensation and benefits for our executive officers, for determining distributions and grants of awards under our various stock and other incentive plans, and for all matters related to the foregoing.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NEO Compensation for 2025</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Compensation Committee in reviewing our executive compensation packages assesses salary and bonus, salary and bonus history, the number and value of shares owned by our executives, and vesting and exercise history of prior equity grants. The Compensation Committee also considers data regarding compensation paid at public media, internet, and technology-based companies of comparable size to our Company and which could compete for the services of our NEOs. Although the compensation practices of our competitors instruct our review, we use that data only to gain perspective and do not “benchmark” our compensation to any particular level.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 and Bonus</w:t>
      </w:r>
    </w:p>
    <w:p>
      <w:pPr>
        <w:spacing w:after="0" w:line="22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 2025 salaries and bonuses shown in the table following the </w:t>
      </w: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color w:val="auto"/>
        </w:rPr>
        <w:t xml:space="preserve"> section of this Amendment below were set by our Compensation Committee based on the compensation review discussed above, as well as a consideration of the respective NEO’s total compensation package including prior equity grants, exercise history, and existing stock ownership. Base salaries and bonuses are a necessary part of our compensation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program and provide executives with a fixed portion of pay that is not performance-based. Our goal is to provide competitive base pay levels. The Compensation Committee considered each NEO’s skills, experience, level of responsibility, performance and contribution to our Company. The Compensation Committee also took into account in conjunction with the NEO’s specific areas of responsibilities and objectives, each NEO’s contribution to the Company’s overall success as a member of the management team. The Compensation Committee considers the relative compensation levels among all the members of the management team to ensure the Company’s executive compensation programs are internally consistent and equitable. All salaries and bonuses are reviewed at least annually and subject to future adjustment by the Compensation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and Grant Practices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All of our employees and directors are eligible to receive options, shares of restricted stock awards ("RSAs"), and/or restricted stock units ("RSUs") under our 2021 Stock Incentive Plan (“2021 Stock Plan”).</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periodically, and at least annually, considers equity awards to the Company's NEOs, but does not automatically grant equity awards to NEOs every year. The Compensation Committee takes into account the various factors outlined in the discussion of base salary and bonus above as well as the Company’s financial performance and its impact on stockholder value and also analyzes existing NEO equity holdings and prior equity awards to take into account whether additional grants are appropriate and necessary to recalibrate the cash-equity balance of NEO compensation packages.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January 16, 2025, the Compensation Committee granted stock options to Mr. Nagle under the 2021 Stock Plan pursuant to a periodic review of equity award incentives for executive officers of the Company.</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March 20, 2025, the Compensation Committee granted RSUs to Messrs. Hartless, Feeney, Nagle, and Miller under the 2021 Stock Plan pursuant to a periodic review of equity award incentives for executive officers of the Company.</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On October 16, 2025, the Compensation Committee granted stock options and RSUs to Messrs. Hartless, Feeney, and Nagle under the 2021 Stock Plan pursuant to a periodic review of equity award incentives for executive officers of the Company.</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On December 16, 2025, the Compensation Committee granted stock options to Mr. Horowitz under the 2021 Stock Plan in connection with his reelection as a Director at the 2025 Annual Meeting of Stockholders of the Company.</w:t>
      </w:r>
    </w:p>
    <w:p>
      <w:pPr>
        <w:spacing w:after="0" w:line="162"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You can find more information regarding these grants, including the corresponding vesting schedules, by referring to the table following the </w:t>
      </w:r>
      <w:r>
        <w:rPr>
          <w:rFonts w:ascii="Times New Roman" w:cs="Times New Roman" w:eastAsia="Times New Roman" w:hAnsi="Times New Roman"/>
          <w:sz w:val="18"/>
          <w:szCs w:val="18"/>
          <w:b w:val="1"/>
          <w:bCs w:val="1"/>
          <w:i w:val="1"/>
          <w:iCs w:val="1"/>
          <w:color w:val="auto"/>
        </w:rPr>
        <w:t xml:space="preserve">Outstanding Equity Awards at 2025 Fiscal Year-End </w:t>
      </w:r>
      <w:r>
        <w:rPr>
          <w:rFonts w:ascii="Times New Roman" w:cs="Times New Roman" w:eastAsia="Times New Roman" w:hAnsi="Times New Roman"/>
          <w:sz w:val="18"/>
          <w:szCs w:val="18"/>
          <w:color w:val="auto"/>
        </w:rPr>
        <w:t>section of this Amendment below.</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Most equity awards for employees are tied to their annual performance reviews. We may occasionally make employee grants outside of that review process and such awards typically are granted as of the date the grant is approved. All new-hire awards have a grant date set to correspond to the date of hire. All options have an exercise price set at the closing market price of our Class B common stock on the grant date.</w:t>
      </w:r>
    </w:p>
    <w:p>
      <w:pPr>
        <w:spacing w:after="0" w:line="176" w:lineRule="exact"/>
        <w:rPr>
          <w:sz w:val="20"/>
          <w:szCs w:val="20"/>
          <w:color w:val="auto"/>
        </w:rPr>
      </w:pPr>
    </w:p>
    <w:p>
      <w:pPr>
        <w:ind w:right="380" w:firstLine="450"/>
        <w:spacing w:after="0" w:line="282" w:lineRule="auto"/>
        <w:rPr>
          <w:sz w:val="20"/>
          <w:szCs w:val="20"/>
          <w:color w:val="auto"/>
        </w:rPr>
      </w:pPr>
      <w:r>
        <w:rPr>
          <w:rFonts w:ascii="Times New Roman" w:cs="Times New Roman" w:eastAsia="Times New Roman" w:hAnsi="Times New Roman"/>
          <w:sz w:val="18"/>
          <w:szCs w:val="18"/>
          <w:color w:val="auto"/>
        </w:rPr>
        <w:t>The Compensation Committee may grant equity awards at any time. It is our practice to not time equity award grants in relation to the release of material non-public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Assessment of Compensation Policies and Practices</w:t>
      </w:r>
    </w:p>
    <w:p>
      <w:pPr>
        <w:spacing w:after="0" w:line="2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believe our compensation policies and practices do not promote imprudent risk taking. In this regard, we note the following: (i) our annual incentive compensation is based on balanced performance metrics that promote disciplined progress towards longer-term Company goals; (ii) we do not offer short-term incentives that might drive high-risk investments at the expense of long-term Company value; and (iii) our compensation programs are weighted towards offering long-term incentives that reward sustainable performance, especially when considering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executive share ownership. Accordingly, we believe that our compensation policies and practices do not create risks that are reasonably likely to have a material adverse effect on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Recovering Incentive Compensation</w:t>
      </w:r>
    </w:p>
    <w:p>
      <w:pPr>
        <w:spacing w:after="0" w:line="229" w:lineRule="exact"/>
        <w:rPr>
          <w:sz w:val="20"/>
          <w:szCs w:val="20"/>
          <w:color w:val="auto"/>
        </w:rPr>
      </w:pPr>
    </w:p>
    <w:p>
      <w:pPr>
        <w:ind w:right="900" w:firstLine="495"/>
        <w:spacing w:after="0" w:line="282" w:lineRule="auto"/>
        <w:rPr>
          <w:sz w:val="20"/>
          <w:szCs w:val="20"/>
          <w:color w:val="auto"/>
        </w:rPr>
      </w:pPr>
      <w:r>
        <w:rPr>
          <w:rFonts w:ascii="Times New Roman" w:cs="Times New Roman" w:eastAsia="Times New Roman" w:hAnsi="Times New Roman"/>
          <w:sz w:val="18"/>
          <w:szCs w:val="18"/>
          <w:color w:val="auto"/>
        </w:rPr>
        <w:t>We have adopted a policy for the recovery of certain executive compensation received on or after October 2, 2023 in the event of certain restatements of our financial statements in accordance with SEC and NASDAQ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None of the members of the Compensation Committee during 2025, are or have been an officer or employee of the Company. No member of the Compensation Committee had any relationship with the Company requiring disclosure under Item 404 of Regulation S-K. During 2025, none of the Company’s executive officers served on the Compensation Committee (or its equivalent) or Board of Directors of another entity where any of that entity's executive officers also served on the Company’s Compensation Committee or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Summary Compensation Table </w:t>
      </w:r>
      <w:r>
        <w:rPr>
          <w:rFonts w:ascii="Times New Roman" w:cs="Times New Roman" w:eastAsia="Times New Roman" w:hAnsi="Times New Roman"/>
          <w:sz w:val="24"/>
          <w:szCs w:val="24"/>
          <w:b w:val="1"/>
          <w:bCs w:val="1"/>
          <w:color w:val="auto"/>
          <w:vertAlign w:val="superscript"/>
        </w:rPr>
        <w:t>(1)</w:t>
      </w:r>
    </w:p>
    <w:p>
      <w:pPr>
        <w:spacing w:after="0" w:line="8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during the fiscal years ended December 31, 2025 and 2024, as applicable, by our NEOs for such years: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2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9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18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w:t>
            </w:r>
          </w:p>
        </w:tc>
        <w:tc>
          <w:tcPr>
            <w:tcW w:w="6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(3)</w:t>
            </w:r>
          </w:p>
        </w:tc>
        <w:tc>
          <w:tcPr>
            <w:tcW w:w="7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9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Troy Hartless</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380,208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w:t>
            </w: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423,125</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165,000</w:t>
            </w:r>
          </w:p>
        </w:tc>
        <w:tc>
          <w:tcPr>
            <w:tcW w:w="1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1,230,833</w:t>
            </w: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President &amp; CRO</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375,000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261,781</w:t>
            </w: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282,000</w:t>
            </w:r>
          </w:p>
        </w:tc>
        <w:tc>
          <w:tcPr>
            <w:tcW w:w="1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918,781</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Francis Feeney</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355,208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379,375</w:t>
            </w:r>
          </w:p>
        </w:tc>
        <w:tc>
          <w:tcPr>
            <w:tcW w:w="50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165,000</w:t>
            </w:r>
          </w:p>
        </w:tc>
        <w:tc>
          <w:tcPr>
            <w:tcW w:w="1300" w:type="dxa"/>
            <w:vAlign w:val="bottom"/>
          </w:tcPr>
          <w:p>
            <w:pPr>
              <w:spacing w:after="0"/>
              <w:rPr>
                <w:sz w:val="16"/>
                <w:szCs w:val="16"/>
                <w:color w:val="auto"/>
              </w:rPr>
            </w:pPr>
          </w:p>
        </w:tc>
        <w:tc>
          <w:tcPr>
            <w:tcW w:w="94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1,087,083</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COO, CLO, &amp; Corporate</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350,000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4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7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282,000</w:t>
            </w:r>
          </w:p>
        </w:tc>
        <w:tc>
          <w:tcPr>
            <w:tcW w:w="1300" w:type="dxa"/>
            <w:vAlign w:val="bottom"/>
          </w:tcPr>
          <w:p>
            <w:pPr>
              <w:spacing w:after="0"/>
              <w:rPr>
                <w:sz w:val="17"/>
                <w:szCs w:val="17"/>
                <w:color w:val="auto"/>
              </w:rPr>
            </w:pPr>
          </w:p>
        </w:tc>
        <w:tc>
          <w:tcPr>
            <w:tcW w:w="940" w:type="dxa"/>
            <w:vAlign w:val="bottom"/>
            <w:vMerge w:val="restart"/>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882,000</w:t>
            </w:r>
          </w:p>
        </w:tc>
        <w:tc>
          <w:tcPr>
            <w:tcW w:w="0" w:type="dxa"/>
            <w:vAlign w:val="bottom"/>
          </w:tcPr>
          <w:p>
            <w:pPr>
              <w:spacing w:after="0"/>
              <w:rPr>
                <w:sz w:val="1"/>
                <w:szCs w:val="1"/>
                <w:color w:val="auto"/>
              </w:rPr>
            </w:pPr>
          </w:p>
        </w:tc>
      </w:tr>
      <w:tr>
        <w:trPr>
          <w:trHeight w:val="102"/>
        </w:trPr>
        <w:tc>
          <w:tcPr>
            <w:tcW w:w="1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Secretary</w:t>
            </w:r>
          </w:p>
        </w:tc>
        <w:tc>
          <w:tcPr>
            <w:tcW w:w="7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82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Brian Nagle</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230,625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5,795</w:t>
            </w: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238,125</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161,000</w:t>
            </w:r>
          </w:p>
        </w:tc>
        <w:tc>
          <w:tcPr>
            <w:tcW w:w="1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635,545</w:t>
            </w: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CFO</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78,031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22,250</w:t>
            </w:r>
          </w:p>
        </w:tc>
        <w:tc>
          <w:tcPr>
            <w:tcW w:w="1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100,281</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Russell Horowitz</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255,000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49,500</w:t>
            </w:r>
          </w:p>
        </w:tc>
        <w:tc>
          <w:tcPr>
            <w:tcW w:w="1300" w:type="dxa"/>
            <w:vAlign w:val="bottom"/>
          </w:tcPr>
          <w:p>
            <w:pPr>
              <w:spacing w:after="0"/>
              <w:rPr>
                <w:sz w:val="16"/>
                <w:szCs w:val="16"/>
                <w:color w:val="auto"/>
              </w:rPr>
            </w:pPr>
          </w:p>
        </w:tc>
        <w:tc>
          <w:tcPr>
            <w:tcW w:w="94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40,013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344,513</w:t>
            </w:r>
          </w:p>
        </w:tc>
        <w:tc>
          <w:tcPr>
            <w:tcW w:w="0" w:type="dxa"/>
            <w:vAlign w:val="bottom"/>
          </w:tcPr>
          <w:p>
            <w:pPr>
              <w:spacing w:after="0"/>
              <w:rPr>
                <w:sz w:val="1"/>
                <w:szCs w:val="1"/>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Chairman</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255,000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54,000</w:t>
            </w:r>
          </w:p>
        </w:tc>
        <w:tc>
          <w:tcPr>
            <w:tcW w:w="1300" w:type="dxa"/>
            <w:vAlign w:val="bottom"/>
          </w:tcPr>
          <w:p>
            <w:pPr>
              <w:spacing w:after="0"/>
              <w:rPr>
                <w:sz w:val="18"/>
                <w:szCs w:val="18"/>
                <w:color w:val="auto"/>
              </w:rPr>
            </w:pPr>
          </w:p>
        </w:tc>
        <w:tc>
          <w:tcPr>
            <w:tcW w:w="94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40,013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349,013</w:t>
            </w:r>
          </w:p>
        </w:tc>
        <w:tc>
          <w:tcPr>
            <w:tcW w:w="0" w:type="dxa"/>
            <w:vAlign w:val="bottom"/>
          </w:tcPr>
          <w:p>
            <w:pPr>
              <w:spacing w:after="0"/>
              <w:rPr>
                <w:sz w:val="1"/>
                <w:szCs w:val="1"/>
                <w:color w:val="auto"/>
              </w:rPr>
            </w:pPr>
          </w:p>
        </w:tc>
      </w:tr>
      <w:tr>
        <w:trPr>
          <w:trHeight w:val="206"/>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Edwin Miller</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347,652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318,750</w:t>
            </w: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185,938</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857,340</w:t>
            </w:r>
          </w:p>
        </w:tc>
        <w:tc>
          <w:tcPr>
            <w:tcW w:w="0" w:type="dxa"/>
            <w:vAlign w:val="bottom"/>
          </w:tcPr>
          <w:p>
            <w:pPr>
              <w:spacing w:after="0"/>
              <w:rPr>
                <w:sz w:val="1"/>
                <w:szCs w:val="1"/>
                <w:color w:val="auto"/>
              </w:rPr>
            </w:pPr>
          </w:p>
        </w:tc>
      </w:tr>
      <w:tr>
        <w:trPr>
          <w:trHeight w:val="203"/>
        </w:trPr>
        <w:tc>
          <w:tcPr>
            <w:tcW w:w="1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Former CEO</w:t>
            </w:r>
          </w:p>
        </w:tc>
        <w:tc>
          <w:tcPr>
            <w:tcW w:w="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425,000</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376,250</w:t>
            </w:r>
          </w:p>
        </w:tc>
        <w:tc>
          <w:tcPr>
            <w:tcW w:w="4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376,000</w:t>
            </w:r>
          </w:p>
        </w:tc>
        <w:tc>
          <w:tcPr>
            <w:tcW w:w="13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2,656</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1,179,906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only those columns relating to compensation awarded to, earned by, or paid to the NEOs in 2025 and 2024.</w:t>
      </w:r>
    </w:p>
    <w:p>
      <w:pPr>
        <w:spacing w:after="0" w:line="117" w:lineRule="exact"/>
        <w:rPr>
          <w:rFonts w:ascii="Times New Roman" w:cs="Times New Roman" w:eastAsia="Times New Roman" w:hAnsi="Times New Roman"/>
          <w:sz w:val="18"/>
          <w:szCs w:val="18"/>
          <w:color w:val="auto"/>
        </w:rPr>
      </w:pPr>
    </w:p>
    <w:p>
      <w:pPr>
        <w:ind w:left="520" w:right="60" w:hanging="512"/>
        <w:spacing w:after="0" w:line="258"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do not reflect whether the NEO has actually realized or will realize a financial benefit from the awards (such as by vesting of a stock award). Amounts represent the aggregate grant date fair value of stock awards each year computed in accordance with Accounting Standards Codification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excluding the effect of forfeitures. For a more detailed discussion on the valuation model and assumptions used to calculate the fair value of each stock award, refer to Note 6 to the Consolidated Financial Statements contained in our 2025 Form 10-K filed on March 26, 2026.</w:t>
      </w:r>
    </w:p>
    <w:p>
      <w:pPr>
        <w:spacing w:after="0" w:line="75" w:lineRule="exact"/>
        <w:rPr>
          <w:rFonts w:ascii="Times New Roman" w:cs="Times New Roman" w:eastAsia="Times New Roman" w:hAnsi="Times New Roman"/>
          <w:sz w:val="18"/>
          <w:szCs w:val="18"/>
          <w:color w:val="auto"/>
        </w:rPr>
      </w:pPr>
    </w:p>
    <w:p>
      <w:pPr>
        <w:ind w:left="520" w:right="160" w:hanging="512"/>
        <w:spacing w:after="0" w:line="258"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do not reflect whether the NEO has actually realized or will realize a financial benefit from the awards (such as by exercising stock options). Amounts represent the aggregate grant date fair value of option awards each year computed in accordance with ASC 718, excluding the effect of forfeitures. The fair value of the shares underlying the option awards that vest based on time is estimated using the Black-Scholes option pricing model. For a more detailed discussion on the valuation model and assumptions used to calculate the fair value of each stock award, refer to Note 6 to the Consolidated Financial Statements from our 2025 Form 10-K filed on March 26, 2026.</w:t>
      </w:r>
    </w:p>
    <w:p>
      <w:pPr>
        <w:spacing w:after="0" w:line="75" w:lineRule="exact"/>
        <w:rPr>
          <w:rFonts w:ascii="Times New Roman" w:cs="Times New Roman" w:eastAsia="Times New Roman" w:hAnsi="Times New Roman"/>
          <w:sz w:val="18"/>
          <w:szCs w:val="18"/>
          <w:color w:val="auto"/>
        </w:rPr>
      </w:pPr>
    </w:p>
    <w:p>
      <w:pPr>
        <w:ind w:left="520" w:right="14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total of all perquisites and personal benefits of each NEO falls below the reportable amount threshold for disclosure within this table. Mr. Miller's amounts in 2025 and 2024 exceeded the threshold and consisted of the Company's 401k matching contribution. Mr. Horowitz's amounts in 2025 and 2024 also exceeded the threshold and consisted of Consolidated Omnibus Budget Reconciliation Act ("COBRA") health insurance reimbursements.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Outstanding Equity Awards at 2025 Fiscal Year-End </w:t>
      </w:r>
      <w:r>
        <w:rPr>
          <w:rFonts w:ascii="Times New Roman" w:cs="Times New Roman" w:eastAsia="Times New Roman" w:hAnsi="Times New Roman"/>
          <w:sz w:val="24"/>
          <w:szCs w:val="24"/>
          <w:b w:val="1"/>
          <w:bCs w:val="1"/>
          <w:color w:val="auto"/>
          <w:vertAlign w:val="superscript"/>
        </w:rPr>
        <w:t>(1)</w:t>
      </w:r>
    </w:p>
    <w:p>
      <w:pPr>
        <w:spacing w:after="0" w:line="8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information with respect to the value of all unexercised options and unvested stock awards previously awarded to our NEOs as of December 31, 2025. Certain option and stock awards provide for accelerated vesting, in certain circumstances. For more information on these acceleration provisions, please refer to section </w:t>
      </w:r>
      <w:r>
        <w:rPr>
          <w:rFonts w:ascii="Times New Roman" w:cs="Times New Roman" w:eastAsia="Times New Roman" w:hAnsi="Times New Roman"/>
          <w:sz w:val="18"/>
          <w:szCs w:val="18"/>
          <w:b w:val="1"/>
          <w:bCs w:val="1"/>
          <w:i w:val="1"/>
          <w:iCs w:val="1"/>
          <w:color w:val="auto"/>
        </w:rPr>
        <w:t>Potential Payments upon Termination or Change in Control at 2025 Fiscal Year-End</w:t>
      </w:r>
      <w:r>
        <w:rPr>
          <w:rFonts w:ascii="Times New Roman" w:cs="Times New Roman" w:eastAsia="Times New Roman" w:hAnsi="Times New Roman"/>
          <w:sz w:val="18"/>
          <w:szCs w:val="18"/>
          <w:color w:val="auto"/>
        </w:rPr>
        <w:t xml:space="preserv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Borders>
              <w:bottom w:val="single" w:sz="8" w:color="auto"/>
            </w:tcBorders>
            <w:gridSpan w:val="2"/>
          </w:tcPr>
          <w:p>
            <w:pPr>
              <w:jc w:val="right"/>
              <w:ind w:right="1053"/>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25"/>
        </w:trPr>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0" w:type="dxa"/>
            <w:vAlign w:val="bottom"/>
          </w:tcPr>
          <w:p>
            <w:pPr>
              <w:jc w:val="center"/>
              <w:ind w:left="193"/>
              <w:spacing w:after="0" w:line="126" w:lineRule="exact"/>
              <w:rPr>
                <w:sz w:val="20"/>
                <w:szCs w:val="20"/>
                <w:color w:val="auto"/>
              </w:rPr>
            </w:pPr>
            <w:r>
              <w:rPr>
                <w:rFonts w:ascii="Times New Roman" w:cs="Times New Roman" w:eastAsia="Times New Roman" w:hAnsi="Times New Roman"/>
                <w:sz w:val="13"/>
                <w:szCs w:val="13"/>
                <w:b w:val="1"/>
                <w:bCs w:val="1"/>
                <w:color w:val="auto"/>
              </w:rPr>
              <w:t>Option</w:t>
            </w: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166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Number of Securities</w:t>
            </w:r>
          </w:p>
        </w:tc>
        <w:tc>
          <w:tcPr>
            <w:tcW w:w="800" w:type="dxa"/>
            <w:vAlign w:val="bottom"/>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2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0" w:type="dxa"/>
            <w:vAlign w:val="bottom"/>
          </w:tcPr>
          <w:p>
            <w:pPr>
              <w:spacing w:after="0"/>
              <w:rPr>
                <w:sz w:val="12"/>
                <w:szCs w:val="12"/>
                <w:color w:val="auto"/>
              </w:rPr>
            </w:pP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Number of Shares or</w:t>
            </w: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Market Value of Shares</w:t>
            </w:r>
          </w:p>
        </w:tc>
        <w:tc>
          <w:tcPr>
            <w:tcW w:w="0" w:type="dxa"/>
            <w:vAlign w:val="bottom"/>
          </w:tcPr>
          <w:p>
            <w:pPr>
              <w:spacing w:after="0"/>
              <w:rPr>
                <w:sz w:val="1"/>
                <w:szCs w:val="1"/>
                <w:color w:val="auto"/>
              </w:rPr>
            </w:pPr>
          </w:p>
        </w:tc>
      </w:tr>
      <w:tr>
        <w:trPr>
          <w:trHeight w:val="138"/>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tcPr>
          <w:p>
            <w:pPr>
              <w:jc w:val="right"/>
              <w:ind w:right="113"/>
              <w:spacing w:after="0" w:line="139" w:lineRule="exact"/>
              <w:rPr>
                <w:sz w:val="20"/>
                <w:szCs w:val="20"/>
                <w:color w:val="auto"/>
              </w:rPr>
            </w:pPr>
            <w:r>
              <w:rPr>
                <w:rFonts w:ascii="Times New Roman" w:cs="Times New Roman" w:eastAsia="Times New Roman" w:hAnsi="Times New Roman"/>
                <w:sz w:val="13"/>
                <w:szCs w:val="13"/>
                <w:b w:val="1"/>
                <w:bCs w:val="1"/>
                <w:color w:val="auto"/>
              </w:rPr>
              <w:t>Underlying Unexercised</w:t>
            </w:r>
          </w:p>
        </w:tc>
        <w:tc>
          <w:tcPr>
            <w:tcW w:w="1660" w:type="dxa"/>
            <w:vAlign w:val="bottom"/>
          </w:tcPr>
          <w:p>
            <w:pPr>
              <w:jc w:val="right"/>
              <w:ind w:right="93"/>
              <w:spacing w:after="0" w:line="139" w:lineRule="exact"/>
              <w:rPr>
                <w:sz w:val="20"/>
                <w:szCs w:val="20"/>
                <w:color w:val="auto"/>
              </w:rPr>
            </w:pPr>
            <w:r>
              <w:rPr>
                <w:rFonts w:ascii="Times New Roman" w:cs="Times New Roman" w:eastAsia="Times New Roman" w:hAnsi="Times New Roman"/>
                <w:sz w:val="13"/>
                <w:szCs w:val="13"/>
                <w:b w:val="1"/>
                <w:bCs w:val="1"/>
                <w:color w:val="auto"/>
              </w:rPr>
              <w:t>Underlying Unexercised</w:t>
            </w:r>
          </w:p>
        </w:tc>
        <w:tc>
          <w:tcPr>
            <w:tcW w:w="800" w:type="dxa"/>
            <w:vAlign w:val="bottom"/>
          </w:tcPr>
          <w:p>
            <w:pPr>
              <w:jc w:val="center"/>
              <w:ind w:left="193"/>
              <w:spacing w:after="0" w:line="139" w:lineRule="exact"/>
              <w:rPr>
                <w:sz w:val="20"/>
                <w:szCs w:val="20"/>
                <w:color w:val="auto"/>
              </w:rPr>
            </w:pPr>
            <w:r>
              <w:rPr>
                <w:rFonts w:ascii="Times New Roman" w:cs="Times New Roman" w:eastAsia="Times New Roman" w:hAnsi="Times New Roman"/>
                <w:sz w:val="13"/>
                <w:szCs w:val="13"/>
                <w:b w:val="1"/>
                <w:bCs w:val="1"/>
                <w:color w:val="auto"/>
              </w:rPr>
              <w:t>Price</w:t>
            </w:r>
          </w:p>
        </w:tc>
        <w:tc>
          <w:tcPr>
            <w:tcW w:w="26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20" w:type="dxa"/>
            <w:vAlign w:val="bottom"/>
          </w:tcPr>
          <w:p>
            <w:pPr>
              <w:spacing w:after="0"/>
              <w:rPr>
                <w:sz w:val="12"/>
                <w:szCs w:val="12"/>
                <w:color w:val="auto"/>
              </w:rPr>
            </w:pPr>
          </w:p>
        </w:tc>
        <w:tc>
          <w:tcPr>
            <w:tcW w:w="146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b w:val="1"/>
                <w:bCs w:val="1"/>
                <w:color w:val="auto"/>
              </w:rPr>
              <w:t>Units of Stock That</w:t>
            </w:r>
          </w:p>
        </w:tc>
        <w:tc>
          <w:tcPr>
            <w:tcW w:w="1520" w:type="dxa"/>
            <w:vAlign w:val="bottom"/>
          </w:tcPr>
          <w:p>
            <w:pPr>
              <w:jc w:val="right"/>
              <w:ind w:right="93"/>
              <w:spacing w:after="0" w:line="139" w:lineRule="exact"/>
              <w:rPr>
                <w:sz w:val="20"/>
                <w:szCs w:val="20"/>
                <w:color w:val="auto"/>
              </w:rPr>
            </w:pPr>
            <w:r>
              <w:rPr>
                <w:rFonts w:ascii="Times New Roman" w:cs="Times New Roman" w:eastAsia="Times New Roman" w:hAnsi="Times New Roman"/>
                <w:sz w:val="13"/>
                <w:szCs w:val="13"/>
                <w:b w:val="1"/>
                <w:bCs w:val="1"/>
                <w:color w:val="auto"/>
              </w:rPr>
              <w:t>or Units of Stock That</w:t>
            </w: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8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Options Exercisable (#)</w:t>
            </w:r>
          </w:p>
        </w:tc>
        <w:tc>
          <w:tcPr>
            <w:tcW w:w="1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Options Unexercisable (#)</w:t>
            </w:r>
          </w:p>
        </w:tc>
        <w:tc>
          <w:tcPr>
            <w:tcW w:w="80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Have Not Vested (#)</w:t>
            </w:r>
          </w:p>
        </w:tc>
        <w:tc>
          <w:tcPr>
            <w:tcW w:w="1520" w:type="dxa"/>
            <w:vAlign w:val="bottom"/>
            <w:tcBorders>
              <w:bottom w:val="single" w:sz="8" w:color="auto"/>
            </w:tcBorders>
          </w:tcPr>
          <w:p>
            <w:pPr>
              <w:jc w:val="right"/>
              <w:ind w:right="73"/>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Have Not Vested </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3"/>
                <w:szCs w:val="13"/>
                <w:b w:val="1"/>
                <w:bCs w:val="1"/>
                <w:color w:val="auto"/>
              </w:rPr>
              <w:t xml:space="preserve"> ($)</w:t>
            </w:r>
          </w:p>
        </w:tc>
        <w:tc>
          <w:tcPr>
            <w:tcW w:w="0" w:type="dxa"/>
            <w:vAlign w:val="bottom"/>
          </w:tcPr>
          <w:p>
            <w:pPr>
              <w:spacing w:after="0"/>
              <w:rPr>
                <w:sz w:val="1"/>
                <w:szCs w:val="1"/>
                <w:color w:val="auto"/>
              </w:rPr>
            </w:pPr>
          </w:p>
        </w:tc>
      </w:tr>
      <w:tr>
        <w:trPr>
          <w:trHeight w:val="142"/>
        </w:trPr>
        <w:tc>
          <w:tcPr>
            <w:tcW w:w="12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Troy Hartless</w:t>
            </w:r>
          </w:p>
        </w:tc>
        <w:tc>
          <w:tcPr>
            <w:tcW w:w="2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4/3/2023 </w:t>
            </w:r>
            <w:r>
              <w:rPr>
                <w:rFonts w:ascii="Times New Roman" w:cs="Times New Roman" w:eastAsia="Times New Roman" w:hAnsi="Times New Roman"/>
                <w:sz w:val="18"/>
                <w:szCs w:val="18"/>
                <w:color w:val="auto"/>
                <w:vertAlign w:val="superscript"/>
              </w:rPr>
              <w:t>(5)</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56,250</w:t>
            </w: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4/3/2033</w:t>
            </w: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0"/>
                <w:szCs w:val="10"/>
                <w:color w:val="auto"/>
              </w:rPr>
            </w:pPr>
          </w:p>
        </w:tc>
        <w:tc>
          <w:tcPr>
            <w:tcW w:w="11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4/3/2023 </w:t>
            </w:r>
            <w:r>
              <w:rPr>
                <w:rFonts w:ascii="Times New Roman" w:cs="Times New Roman" w:eastAsia="Times New Roman" w:hAnsi="Times New Roman"/>
                <w:sz w:val="17"/>
                <w:szCs w:val="17"/>
                <w:color w:val="auto"/>
                <w:vertAlign w:val="superscript"/>
              </w:rPr>
              <w:t>(8)</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127,016</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72,984</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4/3/2033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2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vMerge w:val="restart"/>
            <w:shd w:val="clear" w:color="auto" w:fill="CFF0FC"/>
          </w:tcPr>
          <w:p>
            <w:pPr>
              <w:spacing w:after="0"/>
              <w:rPr>
                <w:sz w:val="2"/>
                <w:szCs w:val="2"/>
                <w:color w:val="auto"/>
              </w:rPr>
            </w:pPr>
          </w:p>
        </w:tc>
        <w:tc>
          <w:tcPr>
            <w:tcW w:w="11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9/28/2023 </w:t>
            </w:r>
            <w:r>
              <w:rPr>
                <w:rFonts w:ascii="Times New Roman" w:cs="Times New Roman" w:eastAsia="Times New Roman" w:hAnsi="Times New Roman"/>
                <w:sz w:val="17"/>
                <w:szCs w:val="17"/>
                <w:color w:val="auto"/>
                <w:vertAlign w:val="superscript"/>
              </w:rPr>
              <w:t>(5)</w:t>
            </w: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4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1140" w:type="dxa"/>
            <w:vAlign w:val="bottom"/>
            <w:vMerge w:val="continue"/>
          </w:tcPr>
          <w:p>
            <w:pPr>
              <w:spacing w:after="0"/>
              <w:rPr>
                <w:sz w:val="10"/>
                <w:szCs w:val="10"/>
                <w:color w:val="auto"/>
              </w:rPr>
            </w:pPr>
          </w:p>
        </w:tc>
        <w:tc>
          <w:tcPr>
            <w:tcW w:w="1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168,750</w:t>
            </w: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131,250</w:t>
            </w:r>
          </w:p>
        </w:tc>
        <w:tc>
          <w:tcPr>
            <w:tcW w:w="80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1.45</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9/28/2033</w:t>
            </w:r>
          </w:p>
        </w:tc>
        <w:tc>
          <w:tcPr>
            <w:tcW w:w="120" w:type="dxa"/>
            <w:vAlign w:val="bottom"/>
            <w:shd w:val="clear" w:color="auto" w:fill="CFF0FC"/>
          </w:tcPr>
          <w:p>
            <w:pPr>
              <w:spacing w:after="0"/>
              <w:rPr>
                <w:sz w:val="10"/>
                <w:szCs w:val="10"/>
                <w:color w:val="auto"/>
              </w:rPr>
            </w:pPr>
          </w:p>
        </w:tc>
        <w:tc>
          <w:tcPr>
            <w:tcW w:w="1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7/26/2024 </w:t>
            </w:r>
            <w:r>
              <w:rPr>
                <w:rFonts w:ascii="Times New Roman" w:cs="Times New Roman" w:eastAsia="Times New Roman" w:hAnsi="Times New Roman"/>
                <w:sz w:val="17"/>
                <w:szCs w:val="17"/>
                <w:color w:val="auto"/>
                <w:vertAlign w:val="superscript"/>
              </w:rPr>
              <w:t>(5)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62,500</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137,500</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7/26/2034</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7/26/2024 </w:t>
            </w:r>
            <w:r>
              <w:rPr>
                <w:rFonts w:ascii="Times New Roman" w:cs="Times New Roman" w:eastAsia="Times New Roman" w:hAnsi="Times New Roman"/>
                <w:sz w:val="17"/>
                <w:szCs w:val="17"/>
                <w:color w:val="auto"/>
                <w:vertAlign w:val="superscript"/>
              </w:rPr>
              <w:t>(5)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7/26/2034</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3/20/2025 </w:t>
            </w:r>
            <w:r>
              <w:rPr>
                <w:rFonts w:ascii="Times New Roman" w:cs="Times New Roman" w:eastAsia="Times New Roman" w:hAnsi="Times New Roman"/>
                <w:sz w:val="17"/>
                <w:szCs w:val="17"/>
                <w:color w:val="auto"/>
                <w:vertAlign w:val="superscript"/>
              </w:rPr>
              <w:t>(10)</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87,500</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145,250</w:t>
            </w: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10/16/2025 </w:t>
            </w:r>
            <w:r>
              <w:rPr>
                <w:rFonts w:ascii="Times New Roman" w:cs="Times New Roman" w:eastAsia="Times New Roman" w:hAnsi="Times New Roman"/>
                <w:sz w:val="17"/>
                <w:szCs w:val="17"/>
                <w:color w:val="auto"/>
                <w:vertAlign w:val="superscript"/>
              </w:rPr>
              <w:t>(11)</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0" w:type="dxa"/>
            <w:vAlign w:val="bottom"/>
          </w:tcPr>
          <w:p>
            <w:pPr>
              <w:spacing w:after="0"/>
              <w:rPr>
                <w:sz w:val="1"/>
                <w:szCs w:val="1"/>
                <w:color w:val="auto"/>
              </w:rPr>
            </w:pPr>
          </w:p>
        </w:tc>
      </w:tr>
      <w:tr>
        <w:trPr>
          <w:trHeight w:val="176"/>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3"/>
                <w:szCs w:val="13"/>
                <w:color w:val="auto"/>
              </w:rPr>
              <w:t xml:space="preserve">10/16/2025 </w:t>
            </w:r>
            <w:r>
              <w:rPr>
                <w:rFonts w:ascii="Times New Roman" w:cs="Times New Roman" w:eastAsia="Times New Roman" w:hAnsi="Times New Roman"/>
                <w:sz w:val="18"/>
                <w:szCs w:val="18"/>
                <w:color w:val="auto"/>
                <w:vertAlign w:val="superscript"/>
              </w:rPr>
              <w:t>(5)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10/16/2035</w:t>
            </w: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24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Francis Feeney</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10/1/2018 </w:t>
            </w:r>
            <w:r>
              <w:rPr>
                <w:rFonts w:ascii="Times New Roman" w:cs="Times New Roman" w:eastAsia="Times New Roman" w:hAnsi="Times New Roman"/>
                <w:sz w:val="18"/>
                <w:szCs w:val="18"/>
                <w:color w:val="auto"/>
                <w:vertAlign w:val="superscript"/>
              </w:rPr>
              <w:t>(5)</w:t>
            </w:r>
          </w:p>
        </w:tc>
        <w:tc>
          <w:tcPr>
            <w:tcW w:w="1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vMerge w:val="continue"/>
          </w:tcPr>
          <w:p>
            <w:pPr>
              <w:spacing w:after="0"/>
              <w:rPr>
                <w:sz w:val="11"/>
                <w:szCs w:val="11"/>
                <w:color w:val="auto"/>
              </w:rPr>
            </w:pPr>
          </w:p>
        </w:tc>
        <w:tc>
          <w:tcPr>
            <w:tcW w:w="16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125,000</w:t>
            </w:r>
          </w:p>
        </w:tc>
        <w:tc>
          <w:tcPr>
            <w:tcW w:w="16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1"/>
                <w:szCs w:val="11"/>
                <w:color w:val="auto"/>
              </w:rPr>
            </w:pPr>
          </w:p>
        </w:tc>
        <w:tc>
          <w:tcPr>
            <w:tcW w:w="2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2.82</w:t>
            </w: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10/1/2028</w:t>
            </w:r>
          </w:p>
        </w:tc>
        <w:tc>
          <w:tcPr>
            <w:tcW w:w="120" w:type="dxa"/>
            <w:vAlign w:val="bottom"/>
          </w:tcPr>
          <w:p>
            <w:pPr>
              <w:spacing w:after="0"/>
              <w:rPr>
                <w:sz w:val="11"/>
                <w:szCs w:val="11"/>
                <w:color w:val="auto"/>
              </w:rPr>
            </w:pPr>
          </w:p>
        </w:tc>
        <w:tc>
          <w:tcPr>
            <w:tcW w:w="14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4/17/2019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4/14/2029</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1/4/2021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1/4/2031</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1/3/2022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1/3/2032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1/3/2022 </w:t>
            </w:r>
            <w:r>
              <w:rPr>
                <w:rFonts w:ascii="Times New Roman" w:cs="Times New Roman" w:eastAsia="Times New Roman" w:hAnsi="Times New Roman"/>
                <w:sz w:val="17"/>
                <w:szCs w:val="17"/>
                <w:color w:val="auto"/>
                <w:vertAlign w:val="superscript"/>
              </w:rPr>
              <w:t>(3)</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16,600</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1/3/2023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1/3/2033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1/3/2023 </w:t>
            </w:r>
            <w:r>
              <w:rPr>
                <w:rFonts w:ascii="Times New Roman" w:cs="Times New Roman" w:eastAsia="Times New Roman" w:hAnsi="Times New Roman"/>
                <w:sz w:val="17"/>
                <w:szCs w:val="17"/>
                <w:color w:val="auto"/>
                <w:vertAlign w:val="superscript"/>
              </w:rPr>
              <w:t>(3)</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33,200</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9/28/2023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168,750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131,250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9/28/2033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7/26/2024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7/26/2034</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7/26/2024 </w:t>
            </w:r>
            <w:r>
              <w:rPr>
                <w:rFonts w:ascii="Times New Roman" w:cs="Times New Roman" w:eastAsia="Times New Roman" w:hAnsi="Times New Roman"/>
                <w:sz w:val="17"/>
                <w:szCs w:val="17"/>
                <w:color w:val="auto"/>
                <w:vertAlign w:val="superscript"/>
              </w:rPr>
              <w:t>(11)</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7/26/2034</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3/20/2025 </w:t>
            </w:r>
            <w:r>
              <w:rPr>
                <w:rFonts w:ascii="Times New Roman" w:cs="Times New Roman" w:eastAsia="Times New Roman" w:hAnsi="Times New Roman"/>
                <w:sz w:val="17"/>
                <w:szCs w:val="17"/>
                <w:color w:val="auto"/>
                <w:vertAlign w:val="superscript"/>
              </w:rPr>
              <w:t>(10)</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62,500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103,750</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10/16/2025 </w:t>
            </w:r>
            <w:r>
              <w:rPr>
                <w:rFonts w:ascii="Times New Roman" w:cs="Times New Roman" w:eastAsia="Times New Roman" w:hAnsi="Times New Roman"/>
                <w:sz w:val="17"/>
                <w:szCs w:val="17"/>
                <w:color w:val="auto"/>
                <w:vertAlign w:val="superscript"/>
              </w:rPr>
              <w:t>(11)</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249,000</w:t>
            </w: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3"/>
                <w:szCs w:val="13"/>
                <w:color w:val="auto"/>
              </w:rPr>
              <w:t xml:space="preserve">10/16/2025 </w:t>
            </w:r>
            <w:r>
              <w:rPr>
                <w:rFonts w:ascii="Times New Roman" w:cs="Times New Roman" w:eastAsia="Times New Roman" w:hAnsi="Times New Roman"/>
                <w:sz w:val="18"/>
                <w:szCs w:val="18"/>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10/16/2035</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Brian Nagle</w:t>
            </w:r>
          </w:p>
        </w:tc>
        <w:tc>
          <w:tcPr>
            <w:tcW w:w="2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8/12/2024 </w:t>
            </w:r>
            <w:r>
              <w:rPr>
                <w:rFonts w:ascii="Times New Roman" w:cs="Times New Roman" w:eastAsia="Times New Roman" w:hAnsi="Times New Roman"/>
                <w:sz w:val="18"/>
                <w:szCs w:val="18"/>
                <w:color w:val="auto"/>
                <w:vertAlign w:val="superscript"/>
              </w:rPr>
              <w:t>(5)</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7,812</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17,188</w:t>
            </w: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8/12/2034</w:t>
            </w: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1"/>
        </w:trPr>
        <w:tc>
          <w:tcPr>
            <w:tcW w:w="12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0"/>
                <w:szCs w:val="10"/>
                <w:color w:val="auto"/>
              </w:rPr>
            </w:pPr>
          </w:p>
        </w:tc>
        <w:tc>
          <w:tcPr>
            <w:tcW w:w="11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1/16/2025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1/16/2035</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2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40" w:type="dxa"/>
            <w:vAlign w:val="bottom"/>
            <w:vMerge w:val="restart"/>
            <w:shd w:val="clear" w:color="auto" w:fill="CFF0FC"/>
          </w:tcPr>
          <w:p>
            <w:pPr>
              <w:spacing w:after="0"/>
              <w:rPr>
                <w:sz w:val="2"/>
                <w:szCs w:val="2"/>
                <w:color w:val="auto"/>
              </w:rPr>
            </w:pPr>
          </w:p>
        </w:tc>
        <w:tc>
          <w:tcPr>
            <w:tcW w:w="11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3/20/2025 </w:t>
            </w:r>
            <w:r>
              <w:rPr>
                <w:rFonts w:ascii="Times New Roman" w:cs="Times New Roman" w:eastAsia="Times New Roman" w:hAnsi="Times New Roman"/>
                <w:sz w:val="17"/>
                <w:szCs w:val="17"/>
                <w:color w:val="auto"/>
                <w:vertAlign w:val="superscript"/>
              </w:rPr>
              <w:t>(10)</w:t>
            </w: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4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1140" w:type="dxa"/>
            <w:vAlign w:val="bottom"/>
            <w:vMerge w:val="continue"/>
          </w:tcPr>
          <w:p>
            <w:pPr>
              <w:spacing w:after="0"/>
              <w:rPr>
                <w:sz w:val="10"/>
                <w:szCs w:val="10"/>
                <w:color w:val="auto"/>
              </w:rPr>
            </w:pPr>
          </w:p>
        </w:tc>
        <w:tc>
          <w:tcPr>
            <w:tcW w:w="1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7,500</w:t>
            </w:r>
          </w:p>
        </w:tc>
        <w:tc>
          <w:tcPr>
            <w:tcW w:w="1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12,450</w:t>
            </w: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10/16/2025 </w:t>
            </w:r>
            <w:r>
              <w:rPr>
                <w:rFonts w:ascii="Times New Roman" w:cs="Times New Roman" w:eastAsia="Times New Roman" w:hAnsi="Times New Roman"/>
                <w:sz w:val="17"/>
                <w:szCs w:val="17"/>
                <w:color w:val="auto"/>
                <w:vertAlign w:val="superscript"/>
              </w:rPr>
              <w:t>(11)</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207,500</w:t>
            </w: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3"/>
                <w:szCs w:val="13"/>
                <w:color w:val="auto"/>
              </w:rPr>
              <w:t xml:space="preserve">10/16/2025 </w:t>
            </w:r>
            <w:r>
              <w:rPr>
                <w:rFonts w:ascii="Times New Roman" w:cs="Times New Roman" w:eastAsia="Times New Roman" w:hAnsi="Times New Roman"/>
                <w:sz w:val="18"/>
                <w:szCs w:val="18"/>
                <w:color w:val="auto"/>
                <w:vertAlign w:val="superscript"/>
              </w:rPr>
              <w:t>(5)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10/16/2035</w:t>
            </w:r>
          </w:p>
        </w:tc>
        <w:tc>
          <w:tcPr>
            <w:tcW w:w="12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124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Russell Horowitz</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10/22/2020 </w:t>
            </w:r>
            <w:r>
              <w:rPr>
                <w:rFonts w:ascii="Times New Roman" w:cs="Times New Roman" w:eastAsia="Times New Roman" w:hAnsi="Times New Roman"/>
                <w:sz w:val="18"/>
                <w:szCs w:val="18"/>
                <w:color w:val="auto"/>
                <w:vertAlign w:val="superscript"/>
              </w:rPr>
              <w:t>(9)</w:t>
            </w:r>
          </w:p>
        </w:tc>
        <w:tc>
          <w:tcPr>
            <w:tcW w:w="1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240" w:type="dxa"/>
            <w:vAlign w:val="bottom"/>
          </w:tcPr>
          <w:p>
            <w:pPr>
              <w:ind w:left="20"/>
              <w:spacing w:after="0" w:line="134" w:lineRule="exact"/>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vMerge w:val="continue"/>
          </w:tcPr>
          <w:p>
            <w:pPr>
              <w:spacing w:after="0"/>
              <w:rPr>
                <w:sz w:val="11"/>
                <w:szCs w:val="11"/>
                <w:color w:val="auto"/>
              </w:rPr>
            </w:pPr>
          </w:p>
        </w:tc>
        <w:tc>
          <w:tcPr>
            <w:tcW w:w="16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20,000</w:t>
            </w:r>
          </w:p>
        </w:tc>
        <w:tc>
          <w:tcPr>
            <w:tcW w:w="16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1"/>
                <w:szCs w:val="11"/>
                <w:color w:val="auto"/>
              </w:rPr>
            </w:pPr>
          </w:p>
        </w:tc>
        <w:tc>
          <w:tcPr>
            <w:tcW w:w="2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1.90</w:t>
            </w: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10/22/2030</w:t>
            </w:r>
          </w:p>
        </w:tc>
        <w:tc>
          <w:tcPr>
            <w:tcW w:w="120" w:type="dxa"/>
            <w:vAlign w:val="bottom"/>
          </w:tcPr>
          <w:p>
            <w:pPr>
              <w:spacing w:after="0"/>
              <w:rPr>
                <w:sz w:val="11"/>
                <w:szCs w:val="11"/>
                <w:color w:val="auto"/>
              </w:rPr>
            </w:pPr>
          </w:p>
        </w:tc>
        <w:tc>
          <w:tcPr>
            <w:tcW w:w="14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12/31/2020 </w:t>
            </w:r>
            <w:r>
              <w:rPr>
                <w:rFonts w:ascii="Times New Roman" w:cs="Times New Roman" w:eastAsia="Times New Roman" w:hAnsi="Times New Roman"/>
                <w:sz w:val="17"/>
                <w:szCs w:val="17"/>
                <w:color w:val="auto"/>
                <w:vertAlign w:val="superscript"/>
              </w:rPr>
              <w:t>(9)</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12/31/2030</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1/4/2021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1/4/2031</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10/1/2021 </w:t>
            </w:r>
            <w:r>
              <w:rPr>
                <w:rFonts w:ascii="Times New Roman" w:cs="Times New Roman" w:eastAsia="Times New Roman" w:hAnsi="Times New Roman"/>
                <w:sz w:val="17"/>
                <w:szCs w:val="17"/>
                <w:color w:val="auto"/>
                <w:vertAlign w:val="superscript"/>
              </w:rPr>
              <w:t>(7)</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10/1/2031</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12/30/2021 </w:t>
            </w:r>
            <w:r>
              <w:rPr>
                <w:rFonts w:ascii="Times New Roman" w:cs="Times New Roman" w:eastAsia="Times New Roman" w:hAnsi="Times New Roman"/>
                <w:sz w:val="17"/>
                <w:szCs w:val="17"/>
                <w:color w:val="auto"/>
                <w:vertAlign w:val="superscript"/>
              </w:rPr>
              <w:t>(6)</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12/30/2031</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1/3/2022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47,812</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3,188</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1/3/2032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1/3/2022 </w:t>
            </w:r>
            <w:r>
              <w:rPr>
                <w:rFonts w:ascii="Times New Roman" w:cs="Times New Roman" w:eastAsia="Times New Roman" w:hAnsi="Times New Roman"/>
                <w:sz w:val="17"/>
                <w:szCs w:val="17"/>
                <w:color w:val="auto"/>
                <w:vertAlign w:val="superscript"/>
              </w:rPr>
              <w:t>(3)</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12,750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21,165</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9/29/2022 </w:t>
            </w:r>
            <w:r>
              <w:rPr>
                <w:rFonts w:ascii="Times New Roman" w:cs="Times New Roman" w:eastAsia="Times New Roman" w:hAnsi="Times New Roman"/>
                <w:sz w:val="17"/>
                <w:szCs w:val="17"/>
                <w:color w:val="auto"/>
                <w:vertAlign w:val="superscript"/>
              </w:rPr>
              <w:t>(4)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9/29/2032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12/30/2022 </w:t>
            </w:r>
            <w:r>
              <w:rPr>
                <w:rFonts w:ascii="Times New Roman" w:cs="Times New Roman" w:eastAsia="Times New Roman" w:hAnsi="Times New Roman"/>
                <w:sz w:val="17"/>
                <w:szCs w:val="17"/>
                <w:color w:val="auto"/>
                <w:vertAlign w:val="superscript"/>
              </w:rPr>
              <w:t>(7)</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12/30/2032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1/25/2023 </w:t>
            </w:r>
            <w:r>
              <w:rPr>
                <w:rFonts w:ascii="Times New Roman" w:cs="Times New Roman" w:eastAsia="Times New Roman" w:hAnsi="Times New Roman"/>
                <w:sz w:val="17"/>
                <w:szCs w:val="17"/>
                <w:color w:val="auto"/>
                <w:vertAlign w:val="superscript"/>
              </w:rPr>
              <w:t>(5)</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35,062</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1/25/2033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1/25/2023 </w:t>
            </w:r>
            <w:r>
              <w:rPr>
                <w:rFonts w:ascii="Times New Roman" w:cs="Times New Roman" w:eastAsia="Times New Roman" w:hAnsi="Times New Roman"/>
                <w:sz w:val="17"/>
                <w:szCs w:val="17"/>
                <w:color w:val="auto"/>
                <w:vertAlign w:val="superscript"/>
              </w:rPr>
              <w:t>(3)</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25,500</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42,330</w:t>
            </w:r>
          </w:p>
        </w:tc>
        <w:tc>
          <w:tcPr>
            <w:tcW w:w="0" w:type="dxa"/>
            <w:vAlign w:val="bottom"/>
          </w:tcPr>
          <w:p>
            <w:pPr>
              <w:spacing w:after="0"/>
              <w:rPr>
                <w:sz w:val="1"/>
                <w:szCs w:val="1"/>
                <w:color w:val="auto"/>
              </w:rPr>
            </w:pPr>
          </w:p>
        </w:tc>
      </w:tr>
      <w:tr>
        <w:trPr>
          <w:trHeight w:val="149"/>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9/28/2023 </w:t>
            </w:r>
            <w:r>
              <w:rPr>
                <w:rFonts w:ascii="Times New Roman" w:cs="Times New Roman" w:eastAsia="Times New Roman" w:hAnsi="Times New Roman"/>
                <w:sz w:val="17"/>
                <w:szCs w:val="17"/>
                <w:color w:val="auto"/>
                <w:vertAlign w:val="superscript"/>
              </w:rPr>
              <w:t>(4)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9/28/2033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11/6/2024 </w:t>
            </w:r>
            <w:r>
              <w:rPr>
                <w:rFonts w:ascii="Times New Roman" w:cs="Times New Roman" w:eastAsia="Times New Roman" w:hAnsi="Times New Roman"/>
                <w:sz w:val="17"/>
                <w:szCs w:val="17"/>
                <w:color w:val="auto"/>
                <w:vertAlign w:val="superscript"/>
              </w:rPr>
              <w:t>(4)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11/6/2034</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13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3"/>
                <w:szCs w:val="13"/>
                <w:color w:val="auto"/>
              </w:rPr>
              <w:t xml:space="preserve">12/16/2025 </w:t>
            </w:r>
            <w:r>
              <w:rPr>
                <w:rFonts w:ascii="Times New Roman" w:cs="Times New Roman" w:eastAsia="Times New Roman" w:hAnsi="Times New Roman"/>
                <w:sz w:val="18"/>
                <w:szCs w:val="18"/>
                <w:color w:val="auto"/>
                <w:vertAlign w:val="superscript"/>
              </w:rPr>
              <w:t>(4)</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12/16/2035</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Edwin Miller</w:t>
            </w:r>
          </w:p>
        </w:tc>
        <w:tc>
          <w:tcPr>
            <w:tcW w:w="2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2/3/2023 </w:t>
            </w:r>
            <w:r>
              <w:rPr>
                <w:rFonts w:ascii="Times New Roman" w:cs="Times New Roman" w:eastAsia="Times New Roman" w:hAnsi="Times New Roman"/>
                <w:sz w:val="18"/>
                <w:szCs w:val="18"/>
                <w:color w:val="auto"/>
                <w:vertAlign w:val="superscript"/>
              </w:rPr>
              <w:t>(5)</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206,250</w:t>
            </w: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8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2/3/2033</w:t>
            </w:r>
          </w:p>
        </w:tc>
        <w:tc>
          <w:tcPr>
            <w:tcW w:w="12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0"/>
                <w:szCs w:val="10"/>
                <w:color w:val="auto"/>
              </w:rPr>
            </w:pPr>
          </w:p>
        </w:tc>
        <w:tc>
          <w:tcPr>
            <w:tcW w:w="11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2/3/2023 </w:t>
            </w:r>
            <w:r>
              <w:rPr>
                <w:rFonts w:ascii="Times New Roman" w:cs="Times New Roman" w:eastAsia="Times New Roman" w:hAnsi="Times New Roman"/>
                <w:sz w:val="17"/>
                <w:szCs w:val="17"/>
                <w:color w:val="auto"/>
                <w:vertAlign w:val="superscript"/>
              </w:rPr>
              <w:t>(8)</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187,500</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187,500</w:t>
            </w:r>
          </w:p>
        </w:tc>
        <w:tc>
          <w:tcPr>
            <w:tcW w:w="8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2/3/2033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7"/>
        </w:trPr>
        <w:tc>
          <w:tcPr>
            <w:tcW w:w="12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vMerge w:val="restart"/>
            <w:shd w:val="clear" w:color="auto" w:fill="CFF0FC"/>
          </w:tcPr>
          <w:p>
            <w:pPr>
              <w:spacing w:after="0"/>
              <w:rPr>
                <w:sz w:val="2"/>
                <w:szCs w:val="2"/>
                <w:color w:val="auto"/>
              </w:rPr>
            </w:pPr>
          </w:p>
        </w:tc>
        <w:tc>
          <w:tcPr>
            <w:tcW w:w="11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9/28/2023 </w:t>
            </w:r>
            <w:r>
              <w:rPr>
                <w:rFonts w:ascii="Times New Roman" w:cs="Times New Roman" w:eastAsia="Times New Roman" w:hAnsi="Times New Roman"/>
                <w:sz w:val="17"/>
                <w:szCs w:val="17"/>
                <w:color w:val="auto"/>
                <w:vertAlign w:val="superscript"/>
              </w:rPr>
              <w:t>(5)</w:t>
            </w:r>
          </w:p>
        </w:tc>
        <w:tc>
          <w:tcPr>
            <w:tcW w:w="1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40" w:type="dxa"/>
            <w:vAlign w:val="bottom"/>
            <w:vMerge w:val="continue"/>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1140" w:type="dxa"/>
            <w:vAlign w:val="bottom"/>
            <w:vMerge w:val="continue"/>
          </w:tcPr>
          <w:p>
            <w:pPr>
              <w:spacing w:after="0"/>
              <w:rPr>
                <w:sz w:val="10"/>
                <w:szCs w:val="10"/>
                <w:color w:val="auto"/>
              </w:rPr>
            </w:pPr>
          </w:p>
        </w:tc>
        <w:tc>
          <w:tcPr>
            <w:tcW w:w="1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196,875</w:t>
            </w:r>
          </w:p>
        </w:tc>
        <w:tc>
          <w:tcPr>
            <w:tcW w:w="1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153,125</w:t>
            </w:r>
          </w:p>
        </w:tc>
        <w:tc>
          <w:tcPr>
            <w:tcW w:w="80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1.45</w:t>
            </w:r>
          </w:p>
        </w:tc>
        <w:tc>
          <w:tcPr>
            <w:tcW w:w="11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9/28/2033</w:t>
            </w:r>
          </w:p>
        </w:tc>
        <w:tc>
          <w:tcPr>
            <w:tcW w:w="120" w:type="dxa"/>
            <w:vAlign w:val="bottom"/>
            <w:shd w:val="clear" w:color="auto" w:fill="CFF0FC"/>
          </w:tcPr>
          <w:p>
            <w:pPr>
              <w:spacing w:after="0"/>
              <w:rPr>
                <w:sz w:val="10"/>
                <w:szCs w:val="10"/>
                <w:color w:val="auto"/>
              </w:rPr>
            </w:pPr>
          </w:p>
        </w:tc>
        <w:tc>
          <w:tcPr>
            <w:tcW w:w="1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7/26/2024 </w:t>
            </w:r>
            <w:r>
              <w:rPr>
                <w:rFonts w:ascii="Times New Roman" w:cs="Times New Roman" w:eastAsia="Times New Roman" w:hAnsi="Times New Roman"/>
                <w:sz w:val="17"/>
                <w:szCs w:val="17"/>
                <w:color w:val="auto"/>
                <w:vertAlign w:val="superscript"/>
              </w:rPr>
              <w:t>(5)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78,125</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171,875</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7/26/2034</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40" w:type="dxa"/>
            <w:vAlign w:val="bottom"/>
            <w:shd w:val="clear" w:color="auto" w:fill="CFF0FC"/>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3"/>
                <w:szCs w:val="13"/>
                <w:color w:val="auto"/>
              </w:rPr>
              <w:t xml:space="preserve">7/26/2024 </w:t>
            </w:r>
            <w:r>
              <w:rPr>
                <w:rFonts w:ascii="Times New Roman" w:cs="Times New Roman" w:eastAsia="Times New Roman" w:hAnsi="Times New Roman"/>
                <w:sz w:val="17"/>
                <w:szCs w:val="17"/>
                <w:color w:val="auto"/>
                <w:vertAlign w:val="superscript"/>
              </w:rPr>
              <w:t>(5)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7/26/2034</w:t>
            </w:r>
          </w:p>
        </w:tc>
        <w:tc>
          <w:tcPr>
            <w:tcW w:w="120" w:type="dxa"/>
            <w:vAlign w:val="bottom"/>
            <w:shd w:val="clear" w:color="auto" w:fill="CFF0FC"/>
          </w:tcPr>
          <w:p>
            <w:pPr>
              <w:spacing w:after="0"/>
              <w:rPr>
                <w:sz w:val="12"/>
                <w:szCs w:val="12"/>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40" w:type="dxa"/>
            <w:vAlign w:val="bottom"/>
            <w:shd w:val="clear" w:color="auto" w:fill="CFF0FC"/>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Times New Roman" w:cs="Times New Roman" w:eastAsia="Times New Roman" w:hAnsi="Times New Roman"/>
                <w:sz w:val="13"/>
                <w:szCs w:val="13"/>
                <w:color w:val="auto"/>
              </w:rPr>
              <w:t xml:space="preserve">3/20/2025 </w:t>
            </w:r>
            <w:r>
              <w:rPr>
                <w:rFonts w:ascii="Times New Roman" w:cs="Times New Roman" w:eastAsia="Times New Roman" w:hAnsi="Times New Roman"/>
                <w:sz w:val="18"/>
                <w:szCs w:val="18"/>
                <w:color w:val="auto"/>
                <w:vertAlign w:val="superscript"/>
              </w:rPr>
              <w:t>(10)</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106,250</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-4808220</wp:posOffset>
            </wp:positionV>
            <wp:extent cx="7132320" cy="848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48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660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6040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only those columns for which there are outstanding equity awards at December 31, 2025. All other columns have been omitted.</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 w:right="300" w:hanging="512"/>
        <w:spacing w:after="0" w:line="298"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unvested stock awards is calculated by multiplying the number of unvested stock awards held by the applicable NEO by the closing price of $1.66 per share of our Class B common stock on the NASDAQ stock exchange on December 31, 2025.</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of restricted stock vest at the rate of 25% on each of the first, second, third, and fourth anniversaries, respectively, of the grant date.</w:t>
      </w:r>
    </w:p>
    <w:p>
      <w:pPr>
        <w:spacing w:after="0" w:line="126" w:lineRule="exact"/>
        <w:rPr>
          <w:rFonts w:ascii="Times New Roman" w:cs="Times New Roman" w:eastAsia="Times New Roman" w:hAnsi="Times New Roman"/>
          <w:sz w:val="16"/>
          <w:szCs w:val="16"/>
          <w:color w:val="auto"/>
        </w:rPr>
      </w:pPr>
    </w:p>
    <w:p>
      <w:pPr>
        <w:ind w:left="520" w:right="380" w:hanging="512"/>
        <w:spacing w:after="0" w:line="298"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 grant of options vest 50% on the first and second anniversary of the grant date assuming continued service on Marchex's Board of Directors on the vesting date.</w:t>
      </w:r>
    </w:p>
    <w:p>
      <w:pPr>
        <w:spacing w:after="0" w:line="5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over four years, with 25% of the option shares vesting on the first anniversary and vesting quarterly thereafter over the next three years.</w:t>
      </w:r>
    </w:p>
    <w:p>
      <w:pPr>
        <w:spacing w:after="0" w:line="126" w:lineRule="exact"/>
        <w:rPr>
          <w:rFonts w:ascii="Times New Roman" w:cs="Times New Roman" w:eastAsia="Times New Roman" w:hAnsi="Times New Roman"/>
          <w:sz w:val="16"/>
          <w:szCs w:val="16"/>
          <w:color w:val="auto"/>
        </w:rPr>
      </w:pPr>
    </w:p>
    <w:p>
      <w:pPr>
        <w:ind w:left="520" w:right="20" w:hanging="512"/>
        <w:spacing w:after="0" w:line="269"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on the fifth annual anniversary of the grant date with accelerated vesting as follows: (a) 50% of such options shall vest upon attainment of specified revenue, adjusted operating income before amortization and depreciation ("OIBA") or share price targets at the later of eighteen (18) months or performance attainment (2022 revenue (or trailing 12 months revenue) exceeding 120% of 2021 level, 2022 adjusted OIBA (or trailing 12 months adjusted OIBA) exceeding specified multiples of 2021 level, or the Class B Common Stock share price for twenty (20) consecutive trading days exceeding 150% of the initial 2021 consecutive trading day average), and (b) such remaining unvested options upon attainment of specified revenue, adjusted OIBA or share price targets at the later of thirty (30) months or performance attainment (trailing twelve (12) month revenue exceeding 127% of 2021 level, trailing twelve (12) month adjusted OIBA exceeding specified multiples of 2021 level higher than the initial performance target above, or the Class B Common Stock share price for twenty (20) consecutive trading days exceeding 160% of the initial 2021 consecutive trading day average.</w:t>
      </w:r>
    </w:p>
    <w:p>
      <w:pPr>
        <w:spacing w:after="0" w:line="78" w:lineRule="exact"/>
        <w:rPr>
          <w:rFonts w:ascii="Times New Roman" w:cs="Times New Roman" w:eastAsia="Times New Roman" w:hAnsi="Times New Roman"/>
          <w:sz w:val="16"/>
          <w:szCs w:val="16"/>
          <w:color w:val="auto"/>
        </w:rPr>
      </w:pPr>
    </w:p>
    <w:p>
      <w:pPr>
        <w:ind w:left="520" w:right="40" w:hanging="512"/>
        <w:spacing w:after="0" w:line="269"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on the fifth annual anniversary of the grant date with accelerated vesting as follows: (a) 50% of such options shall vest upon attainment of specified revenue, adjusted OIBA or share price targets at the later of eighteen (18) months or performance attainment (2023 revenue (or trailing 12 months revenue) exceeding 120% of 2022 level, 2023 adjusted OIBA (or trailing 12 months adjusted OIBA) exceeding specified multiples of 2022 level, or the Class B Common Stock share price for twenty (20) consecutive trading days exceeding 150% of the initial 2022 consecutive trading day average), and (b) such remaining unvested options upon attainment of specified revenue, adjusted OIBA or share price targets at the later of thirty (30) months or performance attainment (trailing twelve (12) month revenue exceeding 127% of 2022 level, trailing twelve (12) month adjusted OIBA exceeding specified multiples of 2022 level higher than the initial performance target above, or the Class B Common Stock share price for twenty (20) consecutive trading days exceeding 160% of the initial 2022 consecutive trading day average.</w:t>
      </w:r>
    </w:p>
    <w:p>
      <w:pPr>
        <w:spacing w:after="0" w:line="284" w:lineRule="exact"/>
        <w:rPr>
          <w:rFonts w:ascii="Times New Roman" w:cs="Times New Roman" w:eastAsia="Times New Roman" w:hAnsi="Times New Roman"/>
          <w:sz w:val="16"/>
          <w:szCs w:val="16"/>
          <w:color w:val="auto"/>
        </w:rPr>
      </w:pPr>
    </w:p>
    <w:p>
      <w:pPr>
        <w:ind w:left="520" w:hanging="512"/>
        <w:spacing w:after="0" w:line="269"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on the fifth annual anniversary of the Start Date with accelerated vesting upon certain events and subject to continued employment at all such times. With respect to acceleration, (a) 50% of such option shares shall vest upon attainment of specified revenue, adjusted OIBA or share price targets at the later of twenty-four (24) months or performance attainment (2023 revenue (or subsequent years) exceeding 120% of year of grant level, 2023 adjusted OIBA (or subsequent years) exceeding specified multiples of year of grant level, or following the first year the Class B Common Stock share price for twenty (20) consecutive trading days exceeding 150% of the year of grant trading day average), and (b) such remaining unvested option shares shall vest upon attainment of specified revenue, adjusted OIBA or share price targets at the later of thirty-six (36) months or performance attainment (2023 revenue (or subsequent years) exceeding 127% of year of grant level, 2023 adjusted OIBA (or subsequent years) exceeding specified multiples of year of grant level higher than the initial performance target above, or following the first year the Class B Common Stock share price for twenty (20) consecutive trading days exceeding 160% of the year of grant trading day average.</w:t>
      </w:r>
    </w:p>
    <w:p>
      <w:pPr>
        <w:spacing w:after="0" w:line="78" w:lineRule="exact"/>
        <w:rPr>
          <w:rFonts w:ascii="Times New Roman" w:cs="Times New Roman" w:eastAsia="Times New Roman" w:hAnsi="Times New Roman"/>
          <w:sz w:val="16"/>
          <w:szCs w:val="16"/>
          <w:color w:val="auto"/>
        </w:rPr>
      </w:pPr>
    </w:p>
    <w:p>
      <w:pPr>
        <w:ind w:left="520" w:right="60" w:hanging="512"/>
        <w:spacing w:after="0" w:line="271"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on the fifth annual anniversary of the grant date with accelerated vesting as follows: (a) 50% of such options vest upon attainment of specified revenue, adjusted OIBA or share price targets at the later of eighteen (18) months or performance attainment (2021 revenue (or trailing twelve (12) months revenue) exceeding 120% of 2020 level, 2021 adjusted OIBA (or trailing twelve (12) months adjusted OIBA) exceeding specified multiples of 2020 level, or the Class B common stock share price for twenty (20) consecutive trading days exceeding 150% of the initial 2020 consecutive trading day average), and (b) such remaining unvested options vest upon attainment of specified revenue, adjusted OIBA or share price targets at the later of thirty (30) months or performance attainment (trailing twelve (12) month revenue.</w:t>
      </w:r>
    </w:p>
    <w:p>
      <w:pPr>
        <w:spacing w:after="0" w:line="7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of restricted stock vest in full on the first anniversary of the grant date.</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and shares of restricted stock vest in full on the fourth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 at 2025 Fiscal Year-End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the October 16, 2025, the Company updated the following employment terms for Mr. Nagle, consistent with the terms for Messrs. Hartless and Feeney. In the event that Hartless, Feeney, or Nagle is terminated by the Company without “Cause” (as such term is defined in the Company’s standard form Executive Officer offer letter as previously disclosed), or by Hartless, Feeney, or Nagle for “Good Reason” (defined as material diminution in duties, reduction in annual salary or target bonus from prior year, or relocation of place of performance of duties by more than 50 miles) following the occurrence of a “Change in Control” (as defined in the Plan), Hartless, Feeney, or Nagle will receive a lump sum payment equal to twelve months of base salary plus the amount of any earned bonus for the prior calendar year (such bonus amount capped at 100% of such officer’s then annual salary), and twelve months of COBRA benefits. In the event of termination of employment due to death or disability, Hartless, Feeney, or Nagle or their estate will receive eighteen months of COBRA benefits. In the event of a Change in Control, termination by the Company of Hartless, Feeney, or Nagle without “Cause,” or termination by Hartless, Feeney, or Nagle due to death or disability prior to a Change in Control, 100% of any and all unvested time-based and performance options, restricted stock, and RSUs held by Hartless, Feeney, or Nagle shall become immediately vested.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25"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color w:val="auto"/>
        </w:rPr>
        <w:t xml:space="preserve">The equity awards set forth in the table following the </w:t>
      </w:r>
      <w:r>
        <w:rPr>
          <w:rFonts w:ascii="Times New Roman" w:cs="Times New Roman" w:eastAsia="Times New Roman" w:hAnsi="Times New Roman"/>
          <w:sz w:val="18"/>
          <w:szCs w:val="18"/>
          <w:b w:val="1"/>
          <w:bCs w:val="1"/>
          <w:i w:val="1"/>
          <w:iCs w:val="1"/>
          <w:color w:val="auto"/>
        </w:rPr>
        <w:t>Outstanding Equity Awards at 2025 Fiscal Year-End</w:t>
      </w:r>
      <w:r>
        <w:rPr>
          <w:rFonts w:ascii="Times New Roman" w:cs="Times New Roman" w:eastAsia="Times New Roman" w:hAnsi="Times New Roman"/>
          <w:sz w:val="18"/>
          <w:szCs w:val="18"/>
          <w:color w:val="auto"/>
        </w:rPr>
        <w:t xml:space="preserve"> section of this Amendment above are subject to certain conditions on vesting as well as accelerated vesting in part or in full in the event of a Change in Control or for certain awards in the event of Double-Trigger Change in Control Acceleration.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the compensation information of our PEOs, and the average compensation information of our other NEOs (“non-PEO”), both as reported in the </w:t>
      </w: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color w:val="auto"/>
        </w:rPr>
        <w:t xml:space="preserve"> above and with certain adjustments to reflect the compensation actually paid (“CAP”), as calculated in accordance with the SEC rules, to such individuals, and certain measures of the Company’s financial performance: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tcBorders>
              <w:bottom w:val="single" w:sz="8" w:color="auto"/>
            </w:tcBorders>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PEO (1)</w:t>
            </w: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Borders>
              <w:bottom w:val="single" w:sz="8" w:color="auto"/>
            </w:tcBorders>
            <w:gridSpan w:val="5"/>
          </w:tcPr>
          <w:p>
            <w:pPr>
              <w:ind w:left="1360"/>
              <w:spacing w:after="0"/>
              <w:rPr>
                <w:sz w:val="20"/>
                <w:szCs w:val="20"/>
                <w:color w:val="auto"/>
              </w:rPr>
            </w:pPr>
            <w:r>
              <w:rPr>
                <w:rFonts w:ascii="Times New Roman" w:cs="Times New Roman" w:eastAsia="Times New Roman" w:hAnsi="Times New Roman"/>
                <w:sz w:val="14"/>
                <w:szCs w:val="14"/>
                <w:b w:val="1"/>
                <w:bCs w:val="1"/>
                <w:color w:val="auto"/>
              </w:rPr>
              <w:t>PEO (2)</w:t>
            </w:r>
          </w:p>
        </w:tc>
        <w:tc>
          <w:tcPr>
            <w:tcW w:w="1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PEO (3)</w:t>
            </w: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5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CAP ($)</w:t>
            </w:r>
          </w:p>
        </w:tc>
        <w:tc>
          <w:tcPr>
            <w:tcW w:w="1900" w:type="dxa"/>
            <w:vAlign w:val="bottom"/>
            <w:gridSpan w:val="5"/>
            <w:vMerge w:val="continue"/>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CAP ($)</w:t>
            </w:r>
          </w:p>
        </w:tc>
        <w:tc>
          <w:tcPr>
            <w:tcW w:w="15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00" w:type="dxa"/>
            <w:vAlign w:val="bottom"/>
          </w:tcPr>
          <w:p>
            <w:pPr>
              <w:spacing w:after="0"/>
              <w:rPr>
                <w:sz w:val="12"/>
                <w:szCs w:val="12"/>
                <w:color w:val="auto"/>
              </w:rPr>
            </w:pPr>
          </w:p>
        </w:tc>
        <w:tc>
          <w:tcPr>
            <w:tcW w:w="15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 CAP ($)</w:t>
            </w:r>
          </w:p>
        </w:tc>
        <w:tc>
          <w:tcPr>
            <w:tcW w:w="0" w:type="dxa"/>
            <w:vAlign w:val="bottom"/>
          </w:tcPr>
          <w:p>
            <w:pPr>
              <w:spacing w:after="0"/>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Table Total ($)</w:t>
            </w:r>
          </w:p>
        </w:tc>
        <w:tc>
          <w:tcPr>
            <w:tcW w:w="1520" w:type="dxa"/>
            <w:vAlign w:val="bottom"/>
            <w:gridSpan w:val="4"/>
            <w:vMerge w:val="continue"/>
          </w:tcPr>
          <w:p>
            <w:pPr>
              <w:spacing w:after="0"/>
              <w:rPr>
                <w:sz w:val="15"/>
                <w:szCs w:val="15"/>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Table Total ($)</w:t>
            </w:r>
          </w:p>
        </w:tc>
        <w:tc>
          <w:tcPr>
            <w:tcW w:w="1460" w:type="dxa"/>
            <w:vAlign w:val="bottom"/>
            <w:gridSpan w:val="2"/>
            <w:vMerge w:val="continue"/>
          </w:tcPr>
          <w:p>
            <w:pPr>
              <w:spacing w:after="0"/>
              <w:rPr>
                <w:sz w:val="15"/>
                <w:szCs w:val="15"/>
                <w:color w:val="auto"/>
              </w:rPr>
            </w:pP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7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1,230,833</w:t>
            </w:r>
          </w:p>
        </w:tc>
        <w:tc>
          <w:tcPr>
            <w:tcW w:w="1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1,163,483</w:t>
            </w:r>
          </w:p>
        </w:tc>
        <w:tc>
          <w:tcPr>
            <w:tcW w:w="160" w:type="dxa"/>
            <w:vAlign w:val="bottom"/>
          </w:tcPr>
          <w:p>
            <w:pPr>
              <w:spacing w:after="0"/>
              <w:rPr>
                <w:sz w:val="18"/>
                <w:szCs w:val="18"/>
                <w:color w:val="auto"/>
              </w:rPr>
            </w:pPr>
          </w:p>
        </w:tc>
        <w:tc>
          <w:tcPr>
            <w:tcW w:w="1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1,087,083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1,002,000</w:t>
            </w:r>
          </w:p>
        </w:tc>
        <w:tc>
          <w:tcPr>
            <w:tcW w:w="140" w:type="dxa"/>
            <w:vAlign w:val="bottom"/>
          </w:tcPr>
          <w:p>
            <w:pPr>
              <w:spacing w:after="0"/>
              <w:rPr>
                <w:sz w:val="18"/>
                <w:szCs w:val="18"/>
                <w:color w:val="auto"/>
              </w:rPr>
            </w:pPr>
          </w:p>
        </w:tc>
        <w:tc>
          <w:tcPr>
            <w:tcW w:w="15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857,340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796,132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1,179,906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1,318,187</w:t>
            </w:r>
          </w:p>
        </w:tc>
        <w:tc>
          <w:tcPr>
            <w:tcW w:w="0" w:type="dxa"/>
            <w:vAlign w:val="bottom"/>
          </w:tcPr>
          <w:p>
            <w:pPr>
              <w:spacing w:after="0"/>
              <w:rPr>
                <w:sz w:val="1"/>
                <w:szCs w:val="1"/>
                <w:color w:val="auto"/>
              </w:rPr>
            </w:pPr>
          </w:p>
        </w:tc>
      </w:tr>
      <w:tr>
        <w:trPr>
          <w:trHeight w:val="216"/>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8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1,460,113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1,193,371</w:t>
            </w:r>
          </w:p>
        </w:tc>
        <w:tc>
          <w:tcPr>
            <w:tcW w:w="0" w:type="dxa"/>
            <w:vAlign w:val="bottom"/>
          </w:tcPr>
          <w:p>
            <w:pPr>
              <w:spacing w:after="0"/>
              <w:rPr>
                <w:sz w:val="1"/>
                <w:szCs w:val="1"/>
                <w:color w:val="auto"/>
              </w:rPr>
            </w:pPr>
          </w:p>
        </w:tc>
      </w:tr>
      <w:tr>
        <w:trPr>
          <w:trHeight w:val="345"/>
        </w:trPr>
        <w:tc>
          <w:tcPr>
            <w:tcW w:w="1240" w:type="dxa"/>
            <w:vAlign w:val="bottom"/>
            <w:tcBorders>
              <w:top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PEO (4)</w:t>
            </w:r>
          </w:p>
        </w:tc>
        <w:tc>
          <w:tcPr>
            <w:tcW w:w="160" w:type="dxa"/>
            <w:vAlign w:val="bottom"/>
            <w:tcBorders>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PEO (5)</w:t>
            </w:r>
          </w:p>
        </w:tc>
        <w:tc>
          <w:tcPr>
            <w:tcW w:w="6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4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 ($)</w:t>
            </w: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CAP ($)</w:t>
            </w:r>
          </w:p>
        </w:tc>
        <w:tc>
          <w:tcPr>
            <w:tcW w:w="3040" w:type="dxa"/>
            <w:vAlign w:val="bottom"/>
            <w:gridSpan w:val="6"/>
          </w:tcPr>
          <w:p>
            <w:pPr>
              <w:jc w:val="center"/>
              <w:ind w:right="1040"/>
              <w:spacing w:after="0" w:line="118" w:lineRule="exact"/>
              <w:rPr>
                <w:sz w:val="20"/>
                <w:szCs w:val="20"/>
                <w:color w:val="auto"/>
              </w:rPr>
            </w:pPr>
            <w:r>
              <w:rPr>
                <w:rFonts w:ascii="Times New Roman" w:cs="Times New Roman" w:eastAsia="Times New Roman" w:hAnsi="Times New Roman"/>
                <w:sz w:val="13"/>
                <w:szCs w:val="13"/>
                <w:b w:val="1"/>
                <w:bCs w:val="1"/>
                <w:color w:val="auto"/>
              </w:rPr>
              <w:t>Summary Compensation Table</w:t>
            </w:r>
          </w:p>
        </w:tc>
        <w:tc>
          <w:tcPr>
            <w:tcW w:w="1620" w:type="dxa"/>
            <w:vAlign w:val="bottom"/>
            <w:gridSpan w:val="2"/>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Total CAP ($)</w:t>
            </w:r>
          </w:p>
        </w:tc>
        <w:tc>
          <w:tcPr>
            <w:tcW w:w="0" w:type="dxa"/>
            <w:vAlign w:val="bottom"/>
          </w:tcPr>
          <w:p>
            <w:pPr>
              <w:spacing w:after="0"/>
              <w:rPr>
                <w:sz w:val="1"/>
                <w:szCs w:val="1"/>
                <w:color w:val="auto"/>
              </w:rPr>
            </w:pPr>
          </w:p>
        </w:tc>
      </w:tr>
      <w:tr>
        <w:trPr>
          <w:trHeight w:val="173"/>
        </w:trPr>
        <w:tc>
          <w:tcPr>
            <w:tcW w:w="1240" w:type="dxa"/>
            <w:vAlign w:val="bottom"/>
            <w:vMerge w:val="continue"/>
          </w:tcPr>
          <w:p>
            <w:pPr>
              <w:spacing w:after="0"/>
              <w:rPr>
                <w:sz w:val="15"/>
                <w:szCs w:val="15"/>
                <w:color w:val="auto"/>
              </w:rPr>
            </w:pPr>
          </w:p>
        </w:tc>
        <w:tc>
          <w:tcPr>
            <w:tcW w:w="3440" w:type="dxa"/>
            <w:vAlign w:val="bottom"/>
            <w:gridSpan w:val="8"/>
            <w:vMerge w:val="continue"/>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1460" w:type="dxa"/>
            <w:vAlign w:val="bottom"/>
            <w:gridSpan w:val="2"/>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529,876</w:t>
            </w:r>
          </w:p>
        </w:tc>
        <w:tc>
          <w:tcPr>
            <w:tcW w:w="3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537,428</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-847725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-847725</wp:posOffset>
            </wp:positionV>
            <wp:extent cx="93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-847725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-7620</wp:posOffset>
            </wp:positionV>
            <wp:extent cx="197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188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reported in these columns reflect the amounts for Troy Hartless for </w:t>
      </w:r>
      <w:r>
        <w:rPr>
          <w:rFonts w:ascii="Times New Roman" w:cs="Times New Roman" w:eastAsia="Times New Roman" w:hAnsi="Times New Roman"/>
          <w:sz w:val="17"/>
          <w:szCs w:val="17"/>
          <w:color w:val="auto"/>
        </w:rPr>
        <w:t>2025.</w:t>
      </w:r>
    </w:p>
    <w:p>
      <w:pPr>
        <w:spacing w:after="0" w:line="12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reported in these columns reflect the amounts for Francis Feeney for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6"/>
          <w:szCs w:val="16"/>
          <w:color w:val="auto"/>
        </w:rPr>
        <w:t>.</w:t>
      </w:r>
    </w:p>
    <w:p>
      <w:pPr>
        <w:spacing w:after="0" w:line="12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Amounts reported in these columns reflect the amounts for Edwin Miller for </w:t>
      </w:r>
      <w:r>
        <w:rPr>
          <w:rFonts w:ascii="Times New Roman" w:cs="Times New Roman" w:eastAsia="Times New Roman" w:hAnsi="Times New Roman"/>
          <w:sz w:val="17"/>
          <w:szCs w:val="17"/>
          <w:color w:val="auto"/>
        </w:rPr>
        <w:t>2025, 2024, and 2023.</w:t>
      </w:r>
    </w:p>
    <w:p>
      <w:pPr>
        <w:spacing w:after="0" w:line="12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Amounts reported in these columns reflect the amounts for Michael Arends for </w:t>
      </w:r>
      <w:r>
        <w:rPr>
          <w:rFonts w:ascii="Times New Roman" w:cs="Times New Roman" w:eastAsia="Times New Roman" w:hAnsi="Times New Roman"/>
          <w:sz w:val="17"/>
          <w:szCs w:val="17"/>
          <w:color w:val="auto"/>
        </w:rPr>
        <w:t>2023.</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Amounts reported in these columns reflect the amounts for Russell Horowitz for </w:t>
      </w:r>
      <w:r>
        <w:rPr>
          <w:rFonts w:ascii="Times New Roman" w:cs="Times New Roman" w:eastAsia="Times New Roman" w:hAnsi="Times New Roman"/>
          <w:sz w:val="17"/>
          <w:szCs w:val="17"/>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40" w:type="dxa"/>
            <w:vAlign w:val="bottom"/>
            <w:gridSpan w:val="4"/>
          </w:tcPr>
          <w:p>
            <w:pPr>
              <w:ind w:left="1740"/>
              <w:spacing w:after="0"/>
              <w:rPr>
                <w:sz w:val="20"/>
                <w:szCs w:val="20"/>
                <w:color w:val="auto"/>
              </w:rPr>
            </w:pPr>
            <w:r>
              <w:rPr>
                <w:rFonts w:ascii="Times New Roman" w:cs="Times New Roman" w:eastAsia="Times New Roman" w:hAnsi="Times New Roman"/>
                <w:sz w:val="14"/>
                <w:szCs w:val="14"/>
                <w:b w:val="1"/>
                <w:bCs w:val="1"/>
                <w:color w:val="auto"/>
              </w:rPr>
              <w:t>Non-PEO NEO (6)</w:t>
            </w: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20" w:type="dxa"/>
            <w:vAlign w:val="bottom"/>
            <w:tcBorders>
              <w:top w:val="single" w:sz="8" w:color="auto"/>
            </w:tcBorders>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Value of Initial Fixed $100</w:t>
            </w:r>
          </w:p>
        </w:tc>
        <w:tc>
          <w:tcPr>
            <w:tcW w:w="2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Average Summary Compensation</w:t>
            </w: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on December 31, 2022</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40" w:type="dxa"/>
            <w:vAlign w:val="bottom"/>
            <w:gridSpan w:val="2"/>
            <w:vMerge w:val="continue"/>
          </w:tcPr>
          <w:p>
            <w:pPr>
              <w:spacing w:after="0"/>
              <w:rPr>
                <w:sz w:val="12"/>
                <w:szCs w:val="12"/>
                <w:color w:val="auto"/>
              </w:rPr>
            </w:pPr>
          </w:p>
        </w:tc>
        <w:tc>
          <w:tcPr>
            <w:tcW w:w="24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Average Total CAP ($)</w:t>
            </w:r>
          </w:p>
        </w:tc>
        <w:tc>
          <w:tcPr>
            <w:tcW w:w="2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 Shareholder Return</w:t>
            </w:r>
          </w:p>
        </w:tc>
        <w:tc>
          <w:tcPr>
            <w:tcW w:w="2180" w:type="dxa"/>
            <w:vAlign w:val="bottom"/>
            <w:vMerge w:val="restart"/>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Net Loss ($K)</w:t>
            </w:r>
          </w:p>
        </w:tc>
        <w:tc>
          <w:tcPr>
            <w:tcW w:w="0" w:type="dxa"/>
            <w:vAlign w:val="bottom"/>
          </w:tcPr>
          <w:p>
            <w:pPr>
              <w:spacing w:after="0"/>
              <w:rPr>
                <w:sz w:val="1"/>
                <w:szCs w:val="1"/>
                <w:color w:val="auto"/>
              </w:rPr>
            </w:pPr>
          </w:p>
        </w:tc>
      </w:tr>
      <w:tr>
        <w:trPr>
          <w:trHeight w:val="173"/>
        </w:trPr>
        <w:tc>
          <w:tcPr>
            <w:tcW w:w="1800" w:type="dxa"/>
            <w:vAlign w:val="bottom"/>
            <w:gridSpan w:val="2"/>
            <w:vMerge w:val="continue"/>
          </w:tcPr>
          <w:p>
            <w:pPr>
              <w:spacing w:after="0"/>
              <w:rPr>
                <w:sz w:val="15"/>
                <w:szCs w:val="15"/>
                <w:color w:val="auto"/>
              </w:rPr>
            </w:pPr>
          </w:p>
        </w:tc>
        <w:tc>
          <w:tcPr>
            <w:tcW w:w="244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2400" w:type="dxa"/>
            <w:vAlign w:val="bottom"/>
            <w:gridSpan w:val="2"/>
            <w:vMerge w:val="continue"/>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490,029</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369,315</w:t>
            </w:r>
          </w:p>
        </w:tc>
        <w:tc>
          <w:tcPr>
            <w:tcW w:w="200" w:type="dxa"/>
            <w:vAlign w:val="bottom"/>
          </w:tcPr>
          <w:p>
            <w:pPr>
              <w:spacing w:after="0"/>
              <w:rPr>
                <w:sz w:val="18"/>
                <w:szCs w:val="18"/>
                <w:color w:val="auto"/>
              </w:rPr>
            </w:pPr>
          </w:p>
        </w:tc>
        <w:tc>
          <w:tcPr>
            <w:tcW w:w="2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$103.75</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2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624,391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681,340</w:t>
            </w:r>
          </w:p>
        </w:tc>
        <w:tc>
          <w:tcPr>
            <w:tcW w:w="200" w:type="dxa"/>
            <w:vAlign w:val="bottom"/>
          </w:tcPr>
          <w:p>
            <w:pPr>
              <w:spacing w:after="0"/>
              <w:rPr>
                <w:sz w:val="18"/>
                <w:szCs w:val="18"/>
                <w:color w:val="auto"/>
              </w:rPr>
            </w:pPr>
          </w:p>
        </w:tc>
        <w:tc>
          <w:tcPr>
            <w:tcW w:w="2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$109.38</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489,738</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349,350</w:t>
            </w:r>
          </w:p>
        </w:tc>
        <w:tc>
          <w:tcPr>
            <w:tcW w:w="200" w:type="dxa"/>
            <w:vAlign w:val="bottom"/>
          </w:tcPr>
          <w:p>
            <w:pPr>
              <w:spacing w:after="0"/>
              <w:rPr>
                <w:sz w:val="18"/>
                <w:szCs w:val="18"/>
                <w:color w:val="auto"/>
              </w:rPr>
            </w:pPr>
          </w:p>
        </w:tc>
        <w:tc>
          <w:tcPr>
            <w:tcW w:w="2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-8255</wp:posOffset>
            </wp:positionV>
            <wp:extent cx="231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-8255</wp:posOffset>
            </wp:positionV>
            <wp:extent cx="1454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ind w:left="520" w:right="280" w:hanging="512"/>
        <w:spacing w:after="0" w:line="312" w:lineRule="auto"/>
        <w:tabs>
          <w:tab w:leader="none" w:pos="33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these columns reflect the amounts for Brian Nagle and Russell Horowitz for 2025; Troy Hartless and Holly Aglio for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Troy Hartless, Holly Aglio, Ryan Polley, and John Roswech for </w:t>
      </w:r>
      <w:r>
        <w:rPr>
          <w:rFonts w:ascii="Times New Roman" w:cs="Times New Roman" w:eastAsia="Times New Roman" w:hAnsi="Times New Roman"/>
          <w:sz w:val="17"/>
          <w:szCs w:val="17"/>
          <w:color w:val="auto"/>
        </w:rPr>
        <w:t>2023.</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deductions, and additions to, total compensation in the Summary Compensation Table by year that were used to calculate CAP include: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3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 in Value of Change in Value Values of Awards</w:t>
            </w: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Value of New</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New</w:t>
            </w:r>
          </w:p>
        </w:tc>
        <w:tc>
          <w:tcPr>
            <w:tcW w:w="128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Awards Vested in</w:t>
            </w:r>
          </w:p>
        </w:tc>
        <w:tc>
          <w:tcPr>
            <w:tcW w:w="11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of Awards</w:t>
            </w:r>
          </w:p>
        </w:tc>
        <w:tc>
          <w:tcPr>
            <w:tcW w:w="10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Canceled as of</w:t>
            </w:r>
          </w:p>
        </w:tc>
        <w:tc>
          <w:tcPr>
            <w:tcW w:w="13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 Equity CAP</w:t>
            </w:r>
          </w:p>
        </w:tc>
        <w:tc>
          <w:tcPr>
            <w:tcW w:w="100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CAP*</w:t>
            </w: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 Year</w:t>
            </w:r>
          </w:p>
        </w:tc>
        <w:tc>
          <w:tcPr>
            <w:tcW w:w="112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Already Vested</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w:t>
            </w:r>
          </w:p>
        </w:tc>
        <w:tc>
          <w:tcPr>
            <w:tcW w:w="13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1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(5)</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2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(7)=(3)+(4)+(5)+(6)  (8)=(1)-(2)+(7)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18"/>
                <w:szCs w:val="18"/>
                <w:color w:val="auto"/>
              </w:rPr>
            </w:pPr>
          </w:p>
        </w:tc>
        <w:tc>
          <w:tcPr>
            <w:tcW w:w="16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6"/>
                <w:szCs w:val="16"/>
                <w:color w:val="auto"/>
              </w:rPr>
              <w:t xml:space="preserve">PEO </w:t>
            </w:r>
            <w:r>
              <w:rPr>
                <w:rFonts w:ascii="Times New Roman" w:cs="Times New Roman" w:eastAsia="Times New Roman" w:hAnsi="Times New Roman"/>
                <w:sz w:val="21"/>
                <w:szCs w:val="21"/>
                <w:b w:val="1"/>
                <w:bCs w:val="1"/>
                <w:color w:val="auto"/>
                <w:vertAlign w:val="superscript"/>
              </w:rPr>
              <w:t>(a)</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1,230,833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588,125</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543,375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520,775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1,163,483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PEO </w:t>
            </w:r>
            <w:r>
              <w:rPr>
                <w:rFonts w:ascii="Times New Roman" w:cs="Times New Roman" w:eastAsia="Times New Roman" w:hAnsi="Times New Roman"/>
                <w:sz w:val="21"/>
                <w:szCs w:val="21"/>
                <w:b w:val="1"/>
                <w:bCs w:val="1"/>
                <w:color w:val="auto"/>
                <w:vertAlign w:val="superscript"/>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1,087,083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544,375</w:t>
            </w:r>
          </w:p>
        </w:tc>
        <w:tc>
          <w:tcPr>
            <w:tcW w:w="9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502,125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(32,389)</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459,292</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1,002,000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PEO </w:t>
            </w:r>
            <w:r>
              <w:rPr>
                <w:rFonts w:ascii="Times New Roman" w:cs="Times New Roman" w:eastAsia="Times New Roman" w:hAnsi="Times New Roman"/>
                <w:sz w:val="21"/>
                <w:szCs w:val="21"/>
                <w:b w:val="1"/>
                <w:bCs w:val="1"/>
                <w:color w:val="auto"/>
                <w:vertAlign w:val="superscript"/>
              </w:rPr>
              <w:t>(c)</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857,340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185,938</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175,313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(16,719)</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(33,864)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124,730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796,132</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Average Non-PEO NEO</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490,029</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224,313</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w w:val="99"/>
              </w:rPr>
              <w:t>210,313</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(100,476)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103,598</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369,315</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w:t>
            </w:r>
          </w:p>
        </w:tc>
        <w:tc>
          <w:tcPr>
            <w:tcW w:w="10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8"/>
                <w:szCs w:val="18"/>
                <w:color w:val="auto"/>
              </w:rPr>
            </w:pPr>
          </w:p>
        </w:tc>
        <w:tc>
          <w:tcPr>
            <w:tcW w:w="168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PEO</w:t>
            </w:r>
            <w:r>
              <w:rPr>
                <w:rFonts w:ascii="Times New Roman" w:cs="Times New Roman" w:eastAsia="Times New Roman" w:hAnsi="Times New Roman"/>
                <w:sz w:val="9"/>
                <w:szCs w:val="9"/>
                <w:b w:val="1"/>
                <w:bCs w:val="1"/>
                <w:color w:val="auto"/>
              </w:rPr>
              <w:t xml:space="preserve"> (c)</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1,179,906</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376,000</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424,000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90,281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514,281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1,318,187</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Average Non-PEO NEO</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624,391</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141,000</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w w:val="99"/>
              </w:rPr>
              <w:t>159,000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38,949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rPr>
              <w:t>197,949</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681,340</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w:t>
            </w:r>
          </w:p>
        </w:tc>
        <w:tc>
          <w:tcPr>
            <w:tcW w:w="10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8"/>
                <w:szCs w:val="18"/>
                <w:color w:val="auto"/>
              </w:rPr>
            </w:pPr>
          </w:p>
        </w:tc>
        <w:tc>
          <w:tcPr>
            <w:tcW w:w="1680" w:type="dxa"/>
            <w:vAlign w:val="bottom"/>
            <w:shd w:val="clear" w:color="auto" w:fill="CFF0FC"/>
          </w:tcPr>
          <w:p>
            <w:pPr>
              <w:spacing w:after="0" w:line="212" w:lineRule="exact"/>
              <w:rPr>
                <w:sz w:val="20"/>
                <w:szCs w:val="20"/>
                <w:color w:val="auto"/>
              </w:rPr>
            </w:pPr>
            <w:r>
              <w:rPr>
                <w:rFonts w:ascii="Times New Roman" w:cs="Times New Roman" w:eastAsia="Times New Roman" w:hAnsi="Times New Roman"/>
                <w:sz w:val="24"/>
                <w:szCs w:val="24"/>
                <w:color w:val="auto"/>
                <w:vertAlign w:val="subscript"/>
              </w:rPr>
              <w:t>PEO</w:t>
            </w:r>
            <w:r>
              <w:rPr>
                <w:rFonts w:ascii="Times New Roman" w:cs="Times New Roman" w:eastAsia="Times New Roman" w:hAnsi="Times New Roman"/>
                <w:sz w:val="9"/>
                <w:szCs w:val="9"/>
                <w:b w:val="1"/>
                <w:bCs w:val="1"/>
                <w:color w:val="auto"/>
              </w:rPr>
              <w:t xml:space="preserve"> (c)</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1,460,113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1,073,750</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807,008</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807,008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1,193,371</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PEO </w:t>
            </w:r>
            <w:r>
              <w:rPr>
                <w:rFonts w:ascii="Times New Roman" w:cs="Times New Roman" w:eastAsia="Times New Roman" w:hAnsi="Times New Roman"/>
                <w:sz w:val="21"/>
                <w:szCs w:val="21"/>
                <w:b w:val="1"/>
                <w:bCs w:val="1"/>
                <w:color w:val="auto"/>
                <w:vertAlign w:val="superscript"/>
              </w:rPr>
              <w:t>(d)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529,876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221,650</w:t>
            </w:r>
          </w:p>
        </w:tc>
        <w:tc>
          <w:tcPr>
            <w:tcW w:w="90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162,099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(90,651)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(198,552)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(127,104)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181,122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PEO </w:t>
            </w:r>
            <w:r>
              <w:rPr>
                <w:rFonts w:ascii="Times New Roman" w:cs="Times New Roman" w:eastAsia="Times New Roman" w:hAnsi="Times New Roman"/>
                <w:sz w:val="21"/>
                <w:szCs w:val="21"/>
                <w:b w:val="1"/>
                <w:bCs w:val="1"/>
                <w:color w:val="auto"/>
                <w:vertAlign w:val="superscript"/>
              </w:rPr>
              <w:t>(e)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537,428</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218,267</w:t>
            </w:r>
          </w:p>
        </w:tc>
        <w:tc>
          <w:tcPr>
            <w:tcW w:w="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w w:val="99"/>
              </w:rPr>
              <w:t>145,000</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(299,973)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(83,348)</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(238,321)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80,840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Average Non-PEO</w:t>
            </w: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7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NEO</w:t>
            </w:r>
            <w:r>
              <w:rPr>
                <w:rFonts w:ascii="Times New Roman" w:cs="Times New Roman" w:eastAsia="Times New Roman" w:hAnsi="Times New Roman"/>
                <w:sz w:val="21"/>
                <w:szCs w:val="21"/>
                <w:b w:val="1"/>
                <w:bCs w:val="1"/>
                <w:color w:val="auto"/>
                <w:vertAlign w:val="superscript"/>
              </w:rPr>
              <w:t>(f)</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489,738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390,367</w:t>
            </w: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9"/>
              </w:rPr>
              <w:t>373,979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(124,000)</w:t>
            </w:r>
          </w:p>
        </w:tc>
        <w:tc>
          <w:tcPr>
            <w:tcW w:w="13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249,979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row reflect the amounts for Troy Hartless for 2025.</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row reflect the amounts for Francis Feeney for 2025.</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these rows reflect the amounts for Edwin Miller for 2025, 2024, and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row reflect the amounts for Michael Arends for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row reflect the amounts for Russell Horowitz for 2023.</w:t>
      </w:r>
    </w:p>
    <w:p>
      <w:pPr>
        <w:spacing w:after="0" w:line="126" w:lineRule="exact"/>
        <w:rPr>
          <w:rFonts w:ascii="Times New Roman" w:cs="Times New Roman" w:eastAsia="Times New Roman" w:hAnsi="Times New Roman"/>
          <w:sz w:val="16"/>
          <w:szCs w:val="16"/>
          <w:color w:val="auto"/>
        </w:rPr>
      </w:pPr>
    </w:p>
    <w:p>
      <w:pPr>
        <w:ind w:left="520" w:right="320" w:hanging="512"/>
        <w:spacing w:after="0" w:line="298"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these rows reflect the amounts for Brian Nagle and Russell Horowitz for 2025; Troy Hartless and Holly Aglio for 2024; and Troy Hartless, Holly Aglio, Ryan Polley, and John Roswech for 2023.</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Graphical Description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illustrations below provide graphical descriptions of the relationships between the following:</w:t>
      </w:r>
    </w:p>
    <w:p>
      <w:pPr>
        <w:spacing w:after="0" w:line="225" w:lineRule="exact"/>
        <w:rPr>
          <w:sz w:val="20"/>
          <w:szCs w:val="20"/>
          <w:color w:val="auto"/>
        </w:rPr>
      </w:pPr>
    </w:p>
    <w:p>
      <w:pPr>
        <w:ind w:left="620" w:hanging="103"/>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PEO’s and non-PEO NEO’s CAP and the Company’s cumulative total shareholder return (“TSR”); and</w:t>
      </w:r>
    </w:p>
    <w:p>
      <w:pPr>
        <w:spacing w:after="0" w:line="117"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PEO’s and non-PEO NEO’s CAP and the Company’s net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349240" cy="3308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Troy Hartless in 2025.</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Francis Feeney in 2025.</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Edwin Miller in 2025, 2024, and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Michael Arends in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Russell Horowitz in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 versus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5349240" cy="3291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Troy Hartless in 2025.</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Francis Feeney in 2025.</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Edwin Miller in 2025, 2024, and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Michael Arends in 2023.</w:t>
      </w:r>
    </w:p>
    <w:p>
      <w:pPr>
        <w:spacing w:after="0" w:line="1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PEO CAP represents the compensation actually paid to Russell Horowitz in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Compensation Committee is responsible for periodically reviewing and recommending to the Board of Directors the compensation of our independent directors. The following table summarizes compensation earned during 2025 for service as a member of our Board of Directors, except Mr. Horowitz, our Chairman, whose compensation is reflected within the </w:t>
      </w: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color w:val="auto"/>
        </w:rPr>
        <w:t xml:space="preserve"> section above.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140" w:type="dxa"/>
            <w:vAlign w:val="bottom"/>
            <w:vMerge w:val="restart"/>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2240" w:type="dxa"/>
            <w:vAlign w:val="bottom"/>
            <w:vMerge w:val="restart"/>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2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auto"/>
            </w:tcBorders>
            <w:vMerge w:val="continue"/>
          </w:tcPr>
          <w:p>
            <w:pPr>
              <w:spacing w:after="0"/>
              <w:rPr>
                <w:sz w:val="15"/>
                <w:szCs w:val="15"/>
                <w:color w:val="auto"/>
              </w:rPr>
            </w:pPr>
          </w:p>
        </w:tc>
        <w:tc>
          <w:tcPr>
            <w:tcW w:w="30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Cash ($)</w:t>
            </w:r>
          </w:p>
        </w:tc>
        <w:tc>
          <w:tcPr>
            <w:tcW w:w="214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Arends</w:t>
            </w:r>
          </w:p>
        </w:tc>
        <w:tc>
          <w:tcPr>
            <w:tcW w:w="300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60,000</w:t>
            </w:r>
          </w:p>
        </w:tc>
        <w:tc>
          <w:tcPr>
            <w:tcW w:w="21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49,500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109,500</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Dennis Cline</w:t>
            </w:r>
          </w:p>
        </w:tc>
        <w:tc>
          <w:tcPr>
            <w:tcW w:w="30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30,000</w:t>
            </w:r>
          </w:p>
        </w:tc>
        <w:tc>
          <w:tcPr>
            <w:tcW w:w="21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49,500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Donald Cogsville</w:t>
            </w:r>
          </w:p>
        </w:tc>
        <w:tc>
          <w:tcPr>
            <w:tcW w:w="300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30,000</w:t>
            </w:r>
          </w:p>
        </w:tc>
        <w:tc>
          <w:tcPr>
            <w:tcW w:w="21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8"/>
                <w:szCs w:val="18"/>
                <w:color w:val="auto"/>
              </w:rPr>
              <w:t>49,500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 Wayne Wisehart</w:t>
            </w:r>
          </w:p>
        </w:tc>
        <w:tc>
          <w:tcPr>
            <w:tcW w:w="30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30,000</w:t>
            </w:r>
          </w:p>
        </w:tc>
        <w:tc>
          <w:tcPr>
            <w:tcW w:w="21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49,500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10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the stock awards and option awards columns reflect the aggregate grant date fair value of equity awards granted to directors in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8"/>
          <w:szCs w:val="18"/>
          <w:color w:val="auto"/>
        </w:rPr>
        <w:t xml:space="preserve"> in accordance with ASC 718. These amounts do not reflect whether the director has actually realized or will realize a financial benefit from the awards (such as by vesting in a restricted stock).</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number of equity awards for service as a member of our Board of Directors (except for Mr. Horowitz) outstanding as of December 31, </w:t>
      </w:r>
      <w:r>
        <w:rPr>
          <w:rFonts w:ascii="Times New Roman" w:cs="Times New Roman" w:eastAsia="Times New Roman" w:hAnsi="Times New Roman"/>
          <w:sz w:val="16"/>
          <w:szCs w:val="16"/>
          <w:color w:val="auto"/>
        </w:rPr>
        <w:t>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0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Arends</w:t>
            </w:r>
          </w:p>
        </w:tc>
        <w:tc>
          <w:tcPr>
            <w:tcW w:w="296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7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120,000</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Dennis Cline</w:t>
            </w:r>
          </w:p>
        </w:tc>
        <w:tc>
          <w:tcPr>
            <w:tcW w:w="2960" w:type="dxa"/>
            <w:vAlign w:val="bottom"/>
          </w:tcPr>
          <w:p>
            <w:pPr>
              <w:spacing w:after="0"/>
              <w:rPr>
                <w:sz w:val="18"/>
                <w:szCs w:val="18"/>
                <w:color w:val="auto"/>
              </w:rPr>
            </w:pPr>
          </w:p>
        </w:tc>
        <w:tc>
          <w:tcPr>
            <w:tcW w:w="2240" w:type="dxa"/>
            <w:vAlign w:val="bottom"/>
          </w:tcPr>
          <w:p>
            <w:pPr>
              <w:jc w:val="right"/>
              <w:ind w:right="17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215,000</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Donald Cogsville</w:t>
            </w:r>
          </w:p>
        </w:tc>
        <w:tc>
          <w:tcPr>
            <w:tcW w:w="296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7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215,000</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215,000</w:t>
            </w:r>
          </w:p>
        </w:tc>
      </w:tr>
      <w:tr>
        <w:trPr>
          <w:trHeight w:val="21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 Wayne Wisehart</w:t>
            </w:r>
          </w:p>
        </w:tc>
        <w:tc>
          <w:tcPr>
            <w:tcW w:w="29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77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215,000</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w:t>
            </w:r>
          </w:p>
        </w:tc>
      </w:tr>
    </w:tbl>
    <w:p>
      <w:pPr>
        <w:spacing w:after="0" w:line="19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based upon the elections of the individual directors at our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8"/>
          <w:szCs w:val="18"/>
          <w:color w:val="auto"/>
        </w:rPr>
        <w:t xml:space="preserve"> Annual Meeting of stockholders and in accordance with Marchex’s previously announced director compensation policy: (i) the Company granted 50,000 options with an exercise price being the closing price of the Company’s stock on the grant date, under Marchex’s 2021 Stock Plan to each of the Company’s directors as compensation for their annual board service. Fifty percent (50%) of such options shall vest on the first and second annual anniversary of the grant date, respectively, and with vesting in full upon a Change in Control in each case assuming continued service on Marchex’s Board of Directors for such period. In addition, the Company agreed to pay $7,500 in cash per quarter for each independent directors’ annual director service.</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To the Company’s knowledge, the following table sets forth information regarding the beneficial ownership of our Class A and Class B common stock as of April 10, 2026 by:</w:t>
      </w:r>
    </w:p>
    <w:p>
      <w:pPr>
        <w:spacing w:after="0" w:line="270" w:lineRule="exact"/>
        <w:rPr>
          <w:sz w:val="20"/>
          <w:szCs w:val="20"/>
          <w:color w:val="auto"/>
        </w:rPr>
      </w:pPr>
    </w:p>
    <w:p>
      <w:pPr>
        <w:ind w:left="520" w:right="8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own beneficially more than 5% of the outstanding shares of our Class A or Class B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nominees for director and executive officers as a group.</w:t>
      </w:r>
    </w:p>
    <w:p>
      <w:pPr>
        <w:spacing w:after="0" w:line="333"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Percentage of beneficial ownership is based on 4,660,927 shares of our Class A common stock and 39,636,247 shares of our Class B common stock outstanding as of April 10, 2026. In computing the number of shares beneficially owned by a person and the percentage ownership of that person, shares of common stock subject to options or RSUs held by that person that are currently exercisable or exercisable or issuable upon vesting within 60 days of April 10, 2026, are deemed outstanding. These shares are not, however, deemed outstanding for the purposes of computing the percentage ownership of any other person. Except as otherwise noted below, the address for each beneficial owner listed below is c/o Marchex, Inc., 1200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Ave., Suite 1300, Seattle, WA, 98101.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0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tcBorders>
              <w:bottom w:val="single" w:sz="8" w:color="auto"/>
            </w:tcBorders>
            <w:gridSpan w:val="2"/>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2"/>
                <w:szCs w:val="12"/>
                <w:color w:val="auto"/>
              </w:rPr>
            </w:pPr>
          </w:p>
        </w:tc>
        <w:tc>
          <w:tcPr>
            <w:tcW w:w="2460" w:type="dxa"/>
            <w:vAlign w:val="bottom"/>
            <w:tcBorders>
              <w:bottom w:val="single" w:sz="8" w:color="auto"/>
            </w:tcBorders>
            <w:gridSpan w:val="2"/>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Class B Common Stock</w:t>
            </w:r>
          </w:p>
        </w:tc>
        <w:tc>
          <w:tcPr>
            <w:tcW w:w="176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 Voting Power</w:t>
            </w:r>
          </w:p>
        </w:tc>
        <w:tc>
          <w:tcPr>
            <w:tcW w:w="0" w:type="dxa"/>
            <w:vAlign w:val="bottom"/>
          </w:tcPr>
          <w:p>
            <w:pPr>
              <w:spacing w:after="0"/>
              <w:rPr>
                <w:sz w:val="1"/>
                <w:szCs w:val="1"/>
                <w:color w:val="auto"/>
              </w:rPr>
            </w:pPr>
          </w:p>
        </w:tc>
      </w:tr>
      <w:tr>
        <w:trPr>
          <w:trHeight w:val="115"/>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as appropriate, Address of Beneficial Owner</w:t>
            </w:r>
          </w:p>
        </w:tc>
        <w:tc>
          <w:tcPr>
            <w:tcW w:w="220" w:type="dxa"/>
            <w:vAlign w:val="bottom"/>
          </w:tcPr>
          <w:p>
            <w:pPr>
              <w:spacing w:after="0"/>
              <w:rPr>
                <w:sz w:val="10"/>
                <w:szCs w:val="10"/>
                <w:color w:val="auto"/>
              </w:rPr>
            </w:pPr>
          </w:p>
        </w:tc>
        <w:tc>
          <w:tcPr>
            <w:tcW w:w="13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0"/>
                <w:szCs w:val="10"/>
                <w:color w:val="auto"/>
              </w:rPr>
            </w:pPr>
          </w:p>
        </w:tc>
        <w:tc>
          <w:tcPr>
            <w:tcW w:w="1460" w:type="dxa"/>
            <w:vAlign w:val="bottom"/>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8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Security Holders: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Edenbrook Capital, LLC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7"/>
                <w:szCs w:val="17"/>
                <w:color w:val="auto"/>
              </w:rPr>
            </w:pP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8"/>
              <w:spacing w:after="0" w:line="198" w:lineRule="exact"/>
              <w:rPr>
                <w:sz w:val="20"/>
                <w:szCs w:val="20"/>
                <w:color w:val="auto"/>
              </w:rPr>
            </w:pPr>
            <w:r>
              <w:rPr>
                <w:rFonts w:ascii="Times New Roman" w:cs="Times New Roman" w:eastAsia="Times New Roman" w:hAnsi="Times New Roman"/>
                <w:sz w:val="18"/>
                <w:szCs w:val="18"/>
                <w:color w:val="auto"/>
              </w:rPr>
              <w:t>14,561,905</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36.7</w:t>
            </w:r>
          </w:p>
        </w:tc>
        <w:tc>
          <w:tcPr>
            <w:tcW w:w="92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116 Radio Circle</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Mount Kisco, NY 10549</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Koller Capital LLC </w:t>
            </w:r>
            <w:r>
              <w:rPr>
                <w:rFonts w:ascii="Times New Roman" w:cs="Times New Roman" w:eastAsia="Times New Roman" w:hAnsi="Times New Roman"/>
                <w:sz w:val="24"/>
                <w:szCs w:val="24"/>
                <w:color w:val="auto"/>
                <w:vertAlign w:val="superscript"/>
              </w:rPr>
              <w:t>(3)</w:t>
            </w:r>
          </w:p>
        </w:tc>
        <w:tc>
          <w:tcPr>
            <w:tcW w:w="220" w:type="dxa"/>
            <w:vAlign w:val="bottom"/>
            <w:shd w:val="clear" w:color="auto" w:fill="CFF0FC"/>
          </w:tcPr>
          <w:p>
            <w:pPr>
              <w:spacing w:after="0"/>
              <w:rPr>
                <w:sz w:val="18"/>
                <w:szCs w:val="18"/>
                <w:color w:val="auto"/>
              </w:rPr>
            </w:pPr>
          </w:p>
        </w:tc>
        <w:tc>
          <w:tcPr>
            <w:tcW w:w="13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3,865,175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1343 Main Street, Suite 413</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Sarasota, FL 34236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NEOs and Directors: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Michael Arends </w:t>
            </w:r>
            <w:r>
              <w:rPr>
                <w:rFonts w:ascii="Times New Roman" w:cs="Times New Roman" w:eastAsia="Times New Roman" w:hAnsi="Times New Roman"/>
                <w:sz w:val="24"/>
                <w:szCs w:val="24"/>
                <w:color w:val="auto"/>
                <w:vertAlign w:val="superscript"/>
              </w:rPr>
              <w:t>(4)</w:t>
            </w:r>
          </w:p>
        </w:tc>
        <w:tc>
          <w:tcPr>
            <w:tcW w:w="220" w:type="dxa"/>
            <w:vAlign w:val="bottom"/>
            <w:shd w:val="clear" w:color="auto" w:fill="CFF0FC"/>
          </w:tcPr>
          <w:p>
            <w:pPr>
              <w:spacing w:after="0"/>
              <w:rPr>
                <w:sz w:val="18"/>
                <w:szCs w:val="18"/>
                <w:color w:val="auto"/>
              </w:rPr>
            </w:pPr>
          </w:p>
        </w:tc>
        <w:tc>
          <w:tcPr>
            <w:tcW w:w="13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2,081,666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Dennis Cline </w:t>
            </w:r>
            <w:r>
              <w:rPr>
                <w:rFonts w:ascii="Times New Roman" w:cs="Times New Roman" w:eastAsia="Times New Roman" w:hAnsi="Times New Roman"/>
                <w:sz w:val="24"/>
                <w:szCs w:val="24"/>
                <w:color w:val="auto"/>
                <w:vertAlign w:val="superscript"/>
              </w:rPr>
              <w:t>(5)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286,760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Donald Cogsville </w:t>
            </w:r>
            <w:r>
              <w:rPr>
                <w:rFonts w:ascii="Times New Roman" w:cs="Times New Roman" w:eastAsia="Times New Roman" w:hAnsi="Times New Roman"/>
                <w:sz w:val="24"/>
                <w:szCs w:val="24"/>
                <w:color w:val="auto"/>
                <w:vertAlign w:val="superscript"/>
              </w:rPr>
              <w:t>(6)</w:t>
            </w:r>
          </w:p>
        </w:tc>
        <w:tc>
          <w:tcPr>
            <w:tcW w:w="220" w:type="dxa"/>
            <w:vAlign w:val="bottom"/>
            <w:shd w:val="clear" w:color="auto" w:fill="CFF0FC"/>
          </w:tcPr>
          <w:p>
            <w:pPr>
              <w:spacing w:after="0"/>
              <w:rPr>
                <w:sz w:val="18"/>
                <w:szCs w:val="18"/>
                <w:color w:val="auto"/>
              </w:rPr>
            </w:pPr>
          </w:p>
        </w:tc>
        <w:tc>
          <w:tcPr>
            <w:tcW w:w="13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230,623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Francis Feeney </w:t>
            </w:r>
            <w:r>
              <w:rPr>
                <w:rFonts w:ascii="Times New Roman" w:cs="Times New Roman" w:eastAsia="Times New Roman" w:hAnsi="Times New Roman"/>
                <w:sz w:val="24"/>
                <w:szCs w:val="24"/>
                <w:color w:val="auto"/>
                <w:vertAlign w:val="superscript"/>
              </w:rPr>
              <w:t>(7)</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855,428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Troy Hartless </w:t>
            </w:r>
            <w:r>
              <w:rPr>
                <w:rFonts w:ascii="Times New Roman" w:cs="Times New Roman" w:eastAsia="Times New Roman" w:hAnsi="Times New Roman"/>
                <w:sz w:val="24"/>
                <w:szCs w:val="24"/>
                <w:color w:val="auto"/>
                <w:vertAlign w:val="superscript"/>
              </w:rPr>
              <w:t>(8)</w:t>
            </w:r>
          </w:p>
        </w:tc>
        <w:tc>
          <w:tcPr>
            <w:tcW w:w="220" w:type="dxa"/>
            <w:vAlign w:val="bottom"/>
            <w:shd w:val="clear" w:color="auto" w:fill="CFF0FC"/>
          </w:tcPr>
          <w:p>
            <w:pPr>
              <w:spacing w:after="0"/>
              <w:rPr>
                <w:sz w:val="18"/>
                <w:szCs w:val="18"/>
                <w:color w:val="auto"/>
              </w:rPr>
            </w:pPr>
          </w:p>
        </w:tc>
        <w:tc>
          <w:tcPr>
            <w:tcW w:w="13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675,000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Russell Horowitz </w:t>
            </w:r>
            <w:r>
              <w:rPr>
                <w:rFonts w:ascii="Times New Roman" w:cs="Times New Roman" w:eastAsia="Times New Roman" w:hAnsi="Times New Roman"/>
                <w:sz w:val="24"/>
                <w:szCs w:val="24"/>
                <w:color w:val="auto"/>
                <w:vertAlign w:val="superscript"/>
              </w:rPr>
              <w:t>(9)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4,660,927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1,449,855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Brian Nagle </w:t>
            </w:r>
            <w:r>
              <w:rPr>
                <w:rFonts w:ascii="Times New Roman" w:cs="Times New Roman" w:eastAsia="Times New Roman" w:hAnsi="Times New Roman"/>
                <w:sz w:val="24"/>
                <w:szCs w:val="24"/>
                <w:color w:val="auto"/>
                <w:vertAlign w:val="superscript"/>
              </w:rPr>
              <w:t>(10)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26,249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 Wayne Wisehart </w:t>
            </w:r>
            <w:r>
              <w:rPr>
                <w:rFonts w:ascii="Times New Roman" w:cs="Times New Roman" w:eastAsia="Times New Roman" w:hAnsi="Times New Roman"/>
                <w:sz w:val="24"/>
                <w:szCs w:val="24"/>
                <w:color w:val="auto"/>
                <w:vertAlign w:val="superscript"/>
              </w:rPr>
              <w:t>(6)</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461,145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0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All directors and executive officers as a group (8</w:t>
            </w: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4,660,927</w:t>
            </w:r>
          </w:p>
        </w:tc>
        <w:tc>
          <w:tcPr>
            <w:tcW w:w="1240" w:type="dxa"/>
            <w:vAlign w:val="bottom"/>
            <w:vMerge w:val="restart"/>
            <w:shd w:val="clear" w:color="auto" w:fill="CFF0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6,066,726</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2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54"/>
        </w:trPr>
        <w:tc>
          <w:tcPr>
            <w:tcW w:w="402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 xml:space="preserve">persons) </w:t>
            </w:r>
            <w:r>
              <w:rPr>
                <w:rFonts w:ascii="Times New Roman" w:cs="Times New Roman" w:eastAsia="Times New Roman" w:hAnsi="Times New Roman"/>
                <w:sz w:val="24"/>
                <w:szCs w:val="24"/>
                <w:color w:val="auto"/>
                <w:vertAlign w:val="superscript"/>
              </w:rPr>
              <w:t>(11)</w:t>
            </w:r>
          </w:p>
        </w:tc>
        <w:tc>
          <w:tcPr>
            <w:tcW w:w="1540" w:type="dxa"/>
            <w:vAlign w:val="bottom"/>
            <w:gridSpan w:val="2"/>
            <w:vMerge w:val="continue"/>
            <w:shd w:val="clear" w:color="auto" w:fill="CFF0FC"/>
          </w:tcPr>
          <w:p>
            <w:pPr>
              <w:spacing w:after="0"/>
              <w:rPr>
                <w:sz w:val="22"/>
                <w:szCs w:val="22"/>
                <w:color w:val="auto"/>
              </w:rPr>
            </w:pPr>
          </w:p>
        </w:tc>
        <w:tc>
          <w:tcPr>
            <w:tcW w:w="1240" w:type="dxa"/>
            <w:vAlign w:val="bottom"/>
            <w:vMerge w:val="continue"/>
            <w:shd w:val="clear" w:color="auto" w:fill="CFF0FF"/>
          </w:tcPr>
          <w:p>
            <w:pPr>
              <w:spacing w:after="0"/>
              <w:rPr>
                <w:sz w:val="22"/>
                <w:szCs w:val="22"/>
                <w:color w:val="auto"/>
              </w:rPr>
            </w:pPr>
          </w:p>
        </w:tc>
        <w:tc>
          <w:tcPr>
            <w:tcW w:w="1680" w:type="dxa"/>
            <w:vAlign w:val="bottom"/>
            <w:gridSpan w:val="2"/>
            <w:vMerge w:val="continue"/>
            <w:shd w:val="clear" w:color="auto" w:fill="CFF0FC"/>
          </w:tcPr>
          <w:p>
            <w:pPr>
              <w:spacing w:after="0"/>
              <w:rPr>
                <w:sz w:val="22"/>
                <w:szCs w:val="22"/>
                <w:color w:val="auto"/>
              </w:rPr>
            </w:pPr>
          </w:p>
        </w:tc>
        <w:tc>
          <w:tcPr>
            <w:tcW w:w="1000" w:type="dxa"/>
            <w:vAlign w:val="bottom"/>
            <w:vMerge w:val="continue"/>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40" w:type="dxa"/>
            <w:vAlign w:val="bottom"/>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Except as indicated in the footnotes below and except as subject to community property laws where applicable, the persons named in the table above have sole voting and investment power with respect to all shares of common stock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Beneficial ownership or total voting power, as the case may be, representing less than one percent.</w:t>
      </w:r>
    </w:p>
    <w:p>
      <w:pPr>
        <w:spacing w:after="0" w:line="117" w:lineRule="exact"/>
        <w:rPr>
          <w:sz w:val="20"/>
          <w:szCs w:val="20"/>
          <w:color w:val="auto"/>
        </w:rPr>
      </w:pPr>
    </w:p>
    <w:p>
      <w:pPr>
        <w:ind w:left="520" w:right="6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voting power represents voting power with respect to shares of our Class A and Class B common stock, as a single class. Each holder of Class A common stock shall be entitled to 25 votes per share and each holder of Class B common stock shall be entitled to 1 vote per share on all matters submitted to a vote of stockholders, except as may otherwise be required by law. The Class A common stock is convertible at any time by the holder into shares of Class B common stock on a share-for-share basis.</w:t>
      </w:r>
    </w:p>
    <w:p>
      <w:pPr>
        <w:spacing w:after="0" w:line="71" w:lineRule="exact"/>
        <w:rPr>
          <w:rFonts w:ascii="Times New Roman" w:cs="Times New Roman" w:eastAsia="Times New Roman" w:hAnsi="Times New Roman"/>
          <w:sz w:val="18"/>
          <w:szCs w:val="18"/>
          <w:color w:val="auto"/>
        </w:rPr>
      </w:pPr>
    </w:p>
    <w:p>
      <w:pPr>
        <w:ind w:left="520" w:right="40" w:hanging="512"/>
        <w:spacing w:after="0" w:line="26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most recently available Schedule 13D filed with the SEC on November 13, 2023 by Edenbrook Capital, LLC (“Edenbrook”); Jonathan Brolin, an individual; and Edenbrook Long Only Value Fund, LP (“Edenbrook Fund”). Edenbrook and Mr. Brolin report beneficial ownership and shared voting and dispositive power of 14,561,905 shares of our Class B common stock. The Edenbrook Fund reports beneficial ownership of 13,239,567 shares of our Class B common stock.</w:t>
      </w:r>
    </w:p>
    <w:p>
      <w:pPr>
        <w:spacing w:after="0" w:line="71"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most recently available Schedule 13G filed with the SEC on February 9, 2024 by Koller Capital LLC (“Koller”); Koller Microcap Opportunities Fund LP (“Koller Microcap”); and Ross Koller. Koller, Koller Microcap, and Mr. Koller collectively reported beneficial ownership of 3,865,175 shares of our Class B common stock.</w:t>
      </w:r>
    </w:p>
    <w:p>
      <w:pPr>
        <w:spacing w:after="0" w:line="6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 14,750 shares of restricted stock subject to vesting; (2) 639,937 shares of our Class B common stock subject to options that are currently exercisable or exercisable within 60 days of April 10, 2026; (3) 18,100 shares of Class B common stock held in an Individual Retirement Account for the benefit of Mr. Arends; and (4) 6,500 shares of Class B common stock held in an Individual Retirement Account for the benefit of Diana Arends, Mr. Arends’ wife. 1,077,879 shares of such Class B common stock have been pledged as collateral to a third-party lender.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512"/>
        <w:spacing w:after="0" w:line="26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140,000 shares of our Class B common stock subject to options that are currently exercisable or exercisable within 60 days of April 10, 2026; (2) 28,500 shares of our Class B common stock held by DMC Investments, LLC, a limited liability company of which Mr. Cline is the managing member; and (3) 10,000 shares of our Class B common stock held by the Colburn Cline Trust for the benefit of Colburn Cline, the son of Mr. Cline, for which shares Mr. Cline disclaims beneficial ownership.</w:t>
      </w:r>
    </w:p>
    <w:p>
      <w:pPr>
        <w:spacing w:after="0" w:line="71"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140,000 shares of our Class B common stock subject to options that are currently exercisable or exercisable within 60 days of April 10, 2026.</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10,000 shares of restricted stock that are subject to vesting; and (2) 515,500 shares of our Class B common stock subject to options that are currently exercisable or exercisable within 60 days of April 10, 2026.</w:t>
      </w:r>
    </w:p>
    <w:p>
      <w:pPr>
        <w:spacing w:after="0" w:line="53"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587,500 shares of our Class B common stock subject to options that are currently exercisable or exercisable within 60 days of April 10, 2026.</w:t>
      </w:r>
    </w:p>
    <w:p>
      <w:pPr>
        <w:spacing w:after="0" w:line="53" w:lineRule="exact"/>
        <w:rPr>
          <w:rFonts w:ascii="Times New Roman" w:cs="Times New Roman" w:eastAsia="Times New Roman" w:hAnsi="Times New Roman"/>
          <w:sz w:val="18"/>
          <w:szCs w:val="18"/>
          <w:color w:val="auto"/>
        </w:rPr>
      </w:pPr>
    </w:p>
    <w:p>
      <w:pPr>
        <w:ind w:left="520" w:right="60" w:hanging="512"/>
        <w:spacing w:after="0" w:line="258"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 4,660,927 shares of our Class A common stock held by MARRCH Investments, LLC; (2) 12,750 shares of restricted stock subject to vesting; (3) 452,937 shares of our Class B common stock subject to options that are currently exercisable or exercisable within 60 days of April 10, 2026; and (4) 5,000 shares of Class B common stock held in an Individual Retirement Account for the benefit of Mr. Horowitz. Mr. Horowitz is the managing member of MARRCH Investments, LLC and, as such, may be deemed to exercise voting and investment power over the shares held by all of these entities.</w:t>
      </w:r>
    </w:p>
    <w:p>
      <w:pPr>
        <w:spacing w:after="0" w:line="75"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18,749 shares of our Class B common stock subject to options that are currently exercisable or exercisable within 60 days of April 10, 2026.</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(1) 4,660,927 shares of our Class A common stock; (2) 37,500 shares of restricted stock that are subject to vesting; and (3) 2,634,623 shares of our Class B common stock subject to options that are currently exercisable or exercisable within 60 days of April 10,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5" w:lineRule="exact"/>
        <w:rPr>
          <w:sz w:val="20"/>
          <w:szCs w:val="20"/>
          <w:color w:val="auto"/>
        </w:rPr>
      </w:pPr>
    </w:p>
    <w:p>
      <w:pPr>
        <w:jc w:val="both"/>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2012 Stock Incentive Plan. </w:t>
      </w:r>
      <w:r>
        <w:rPr>
          <w:rFonts w:ascii="Times New Roman" w:cs="Times New Roman" w:eastAsia="Times New Roman" w:hAnsi="Times New Roman"/>
          <w:sz w:val="18"/>
          <w:szCs w:val="18"/>
          <w:color w:val="auto"/>
        </w:rPr>
        <w:t>Our 2012 Stock Incentive Plan was adopted by our Board of Directors and approved by our stockholders on May 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2012 (the “2012 Stock Plan”). No further awards were made under the 2012 Stock Plan after December 31, 2021. The 2012 Stock Plan provided for the granting of shares of Class B common stock to employees, directors, and consultants of Marchex, its affiliates and strategic partners and provided for the following types of grants:</w:t>
      </w:r>
    </w:p>
    <w:p>
      <w:pPr>
        <w:spacing w:after="0" w:line="7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("ISOs") within the meaning of Section 422 of the Internal Revenue Code;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 which are options not intended to qualify as ISOs, sometimes known as non-qualified options;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purchase shares pursuant to restricted stock purchase agreements;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w:t>
      </w:r>
    </w:p>
    <w:p>
      <w:pPr>
        <w:spacing w:after="0" w:line="221"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2021 Stock Incentive Plan. </w:t>
      </w:r>
      <w:r>
        <w:rPr>
          <w:rFonts w:ascii="Times New Roman" w:cs="Times New Roman" w:eastAsia="Times New Roman" w:hAnsi="Times New Roman"/>
          <w:sz w:val="18"/>
          <w:szCs w:val="18"/>
          <w:color w:val="auto"/>
        </w:rPr>
        <w:t>Our 2021 Stock Incentive Plan was adopted by our Board of Directors and approved by our stockholders on October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(the "2021 Stock Plan"). The 2021 Stock Plan provides for the granting of shares of Class B common stock to employees, directors, and consultants of Marchex, its affiliates and strategic partners and provides for the following types of grants:</w:t>
      </w:r>
    </w:p>
    <w:p>
      <w:pPr>
        <w:spacing w:after="0" w:line="6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ISOs within the meaning of Section 422 of the Internal Revenue Code;</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 which are options not intended to qualify as ISOs, sometimes known as non-qualified options;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purchase shares pursuant to restricted stock purchase agreements;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Class B common stock that may be issued upon exercise of options, warrants, and other rights under all of our existing equity compensation plans as of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540" w:type="dxa"/>
            <w:vAlign w:val="bottom"/>
            <w:vMerge w:val="restart"/>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172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remaining</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7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540" w:type="dxa"/>
            <w:vAlign w:val="bottom"/>
          </w:tcPr>
          <w:p>
            <w:pPr>
              <w:jc w:val="cente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7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40" w:type="dxa"/>
            <w:vAlign w:val="bottom"/>
          </w:tcPr>
          <w:p>
            <w:pPr>
              <w:jc w:val="cente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72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shares reflected in</w:t>
            </w:r>
          </w:p>
        </w:tc>
        <w:tc>
          <w:tcPr>
            <w:tcW w:w="0" w:type="dxa"/>
            <w:vAlign w:val="bottom"/>
          </w:tcPr>
          <w:p>
            <w:pPr>
              <w:spacing w:after="0"/>
              <w:rPr>
                <w:sz w:val="1"/>
                <w:szCs w:val="1"/>
                <w:color w:val="auto"/>
              </w:rPr>
            </w:pPr>
          </w:p>
        </w:tc>
      </w:tr>
      <w:tr>
        <w:trPr>
          <w:trHeight w:val="173"/>
        </w:trPr>
        <w:tc>
          <w:tcPr>
            <w:tcW w:w="4760" w:type="dxa"/>
            <w:vAlign w:val="bottom"/>
            <w:tcBorders>
              <w:bottom w:val="single" w:sz="8" w:color="auto"/>
            </w:tcBorders>
            <w:vMerge w:val="continue"/>
          </w:tcPr>
          <w:p>
            <w:pPr>
              <w:spacing w:after="0"/>
              <w:rPr>
                <w:sz w:val="15"/>
                <w:szCs w:val="15"/>
                <w:color w:val="auto"/>
              </w:rPr>
            </w:pPr>
          </w:p>
        </w:tc>
        <w:tc>
          <w:tcPr>
            <w:tcW w:w="2540" w:type="dxa"/>
            <w:vAlign w:val="bottom"/>
            <w:tcBorders>
              <w:bottom w:val="single" w:sz="8" w:color="auto"/>
            </w:tcBorders>
          </w:tcPr>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warrants, and rights (#)(a)</w:t>
            </w:r>
          </w:p>
        </w:tc>
        <w:tc>
          <w:tcPr>
            <w:tcW w:w="172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(a)(#)(c)</w:t>
            </w: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5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2012 stock incentive plan</w:t>
            </w:r>
            <w:r>
              <w:rPr>
                <w:rFonts w:ascii="Times New Roman" w:cs="Times New Roman" w:eastAsia="Times New Roman" w:hAnsi="Times New Roman"/>
                <w:sz w:val="24"/>
                <w:szCs w:val="24"/>
                <w:color w:val="auto"/>
                <w:vertAlign w:val="superscript"/>
              </w:rPr>
              <w:t>(1)</w:t>
            </w:r>
          </w:p>
        </w:tc>
        <w:tc>
          <w:tcPr>
            <w:tcW w:w="2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1,323,060</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2.72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2021 stock incentive plan</w:t>
            </w:r>
            <w:r>
              <w:rPr>
                <w:rFonts w:ascii="Times New Roman" w:cs="Times New Roman" w:eastAsia="Times New Roman" w:hAnsi="Times New Roman"/>
                <w:sz w:val="24"/>
                <w:szCs w:val="24"/>
                <w:color w:val="auto"/>
                <w:vertAlign w:val="superscript"/>
              </w:rPr>
              <w:t>(2)</w:t>
            </w:r>
          </w:p>
        </w:tc>
        <w:tc>
          <w:tcPr>
            <w:tcW w:w="2540" w:type="dxa"/>
            <w:vAlign w:val="bottom"/>
            <w:tcBorders>
              <w:bottom w:val="single" w:sz="8" w:color="auto"/>
            </w:tcBorders>
            <w:shd w:val="clear" w:color="auto" w:fill="CFF0FC"/>
          </w:tcPr>
          <w:p>
            <w:pPr>
              <w:ind w:left="1540"/>
              <w:spacing w:after="0" w:line="216" w:lineRule="exact"/>
              <w:rPr>
                <w:sz w:val="20"/>
                <w:szCs w:val="20"/>
                <w:color w:val="auto"/>
              </w:rPr>
            </w:pPr>
            <w:r>
              <w:rPr>
                <w:rFonts w:ascii="Times New Roman" w:cs="Times New Roman" w:eastAsia="Times New Roman" w:hAnsi="Times New Roman"/>
                <w:sz w:val="18"/>
                <w:szCs w:val="18"/>
                <w:color w:val="auto"/>
              </w:rPr>
              <w:t xml:space="preserve">7,289,087 </w:t>
            </w:r>
            <w:r>
              <w:rPr>
                <w:rFonts w:ascii="Times New Roman" w:cs="Times New Roman" w:eastAsia="Times New Roman" w:hAnsi="Times New Roman"/>
                <w:sz w:val="24"/>
                <w:szCs w:val="24"/>
                <w:color w:val="auto"/>
                <w:vertAlign w:val="superscript"/>
              </w:rPr>
              <w:t>(3)</w:t>
            </w:r>
          </w:p>
        </w:tc>
        <w:tc>
          <w:tcPr>
            <w:tcW w:w="1720" w:type="dxa"/>
            <w:vAlign w:val="bottom"/>
            <w:tcBorders>
              <w:bottom w:val="single" w:sz="8" w:color="auto"/>
            </w:tcBorders>
            <w:shd w:val="clear" w:color="auto" w:fill="CFF0FC"/>
          </w:tcPr>
          <w:p>
            <w:pPr>
              <w:ind w:left="1160"/>
              <w:spacing w:after="0" w:line="216" w:lineRule="exact"/>
              <w:rPr>
                <w:sz w:val="20"/>
                <w:szCs w:val="20"/>
                <w:color w:val="auto"/>
              </w:rPr>
            </w:pPr>
            <w:r>
              <w:rPr>
                <w:rFonts w:ascii="Times New Roman" w:cs="Times New Roman" w:eastAsia="Times New Roman" w:hAnsi="Times New Roman"/>
                <w:sz w:val="18"/>
                <w:szCs w:val="18"/>
                <w:color w:val="auto"/>
                <w:w w:val="98"/>
              </w:rPr>
              <w:t xml:space="preserve">1.73 </w:t>
            </w:r>
            <w:r>
              <w:rPr>
                <w:rFonts w:ascii="Times New Roman" w:cs="Times New Roman" w:eastAsia="Times New Roman" w:hAnsi="Times New Roman"/>
                <w:sz w:val="24"/>
                <w:szCs w:val="24"/>
                <w:color w:val="auto"/>
                <w:w w:val="98"/>
                <w:vertAlign w:val="superscript"/>
              </w:rPr>
              <w:t>(4)</w:t>
            </w: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1,377,459</w:t>
            </w:r>
          </w:p>
        </w:tc>
        <w:tc>
          <w:tcPr>
            <w:tcW w:w="0" w:type="dxa"/>
            <w:vAlign w:val="bottom"/>
          </w:tcPr>
          <w:p>
            <w:pPr>
              <w:spacing w:after="0"/>
              <w:rPr>
                <w:sz w:val="1"/>
                <w:szCs w:val="1"/>
                <w:color w:val="auto"/>
              </w:rPr>
            </w:pPr>
          </w:p>
        </w:tc>
      </w:tr>
      <w:tr>
        <w:trPr>
          <w:trHeight w:val="3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8,612,147</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 xml:space="preserve">1.88 </w:t>
            </w:r>
            <w:r>
              <w:rPr>
                <w:rFonts w:ascii="Times New Roman" w:cs="Times New Roman" w:eastAsia="Times New Roman" w:hAnsi="Times New Roman"/>
                <w:sz w:val="24"/>
                <w:szCs w:val="24"/>
                <w:color w:val="auto"/>
                <w:w w:val="98"/>
                <w:vertAlign w:val="superscript"/>
              </w:rPr>
              <w:t>(4)</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1,377,459</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exercise price in column (b) is calculated based on outstanding stock options. It does not take into account shares issuable upon vesting of outstanding RSUs, which have no exercise price.</w:t>
      </w:r>
    </w:p>
    <w:p>
      <w:pPr>
        <w:spacing w:after="0" w:line="54" w:lineRule="exact"/>
        <w:rPr>
          <w:sz w:val="20"/>
          <w:szCs w:val="20"/>
          <w:color w:val="auto"/>
        </w:rPr>
      </w:pPr>
    </w:p>
    <w:p>
      <w:pPr>
        <w:ind w:left="520" w:right="30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December 31, 2021, no awards were made under the 2012 Stock Plan. The plan consists of stock options to purchase shares of our Class B common stock.</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reserved 8,666,546 shares of Class B common stock for issuance under our 2021 Stock Plan, which includes an increase of 1,310,575 shares to the authorized number of shares available under the plan, which occurred on January 1, 2025.</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options to purchase 6,318,562 shares of Class B common stock and restricted stock representing the right to 970,525 shares of our Class B common stock.</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exclusive of outstanding restricted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and Approval of Related Person Transactions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under its charter for reviewing and approving in advance any proposed related party transactions which would require disclosure under Item 404(a) of Regulation S-K and reporting to the Board of Directors on any approved transactions. The Audit Committee is responsible for ensuring that such relationships are on terms commensurate with those that would be extended to an unrelated third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determined that, other than Mr. Horowitz and Mr. Arends, each member of the board is an independent director in accordance with NASDAQ listing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is RSM US LLP, Los Angeles, CA, PCAOB ID: 49.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2025 and 2024, RSM provided professional services that were billed in the following categories and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Borders>
              <w:bottom w:val="single" w:sz="8" w:color="auto"/>
            </w:tcBorders>
          </w:tcPr>
          <w:p>
            <w:pPr>
              <w:ind w:left="6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9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190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606,890</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439,900</w:t>
            </w:r>
          </w:p>
        </w:tc>
      </w:tr>
      <w:tr>
        <w:trPr>
          <w:trHeight w:val="216"/>
        </w:trPr>
        <w:tc>
          <w:tcPr>
            <w:tcW w:w="6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p>
        </w:tc>
        <w:tc>
          <w:tcPr>
            <w:tcW w:w="19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Borders>
              <w:bottom w:val="single" w:sz="8" w:color="auto"/>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(3)</w:t>
            </w:r>
          </w:p>
        </w:tc>
        <w:tc>
          <w:tcPr>
            <w:tcW w:w="190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All Fees</w:t>
            </w:r>
          </w:p>
        </w:tc>
        <w:tc>
          <w:tcPr>
            <w:tcW w:w="19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606,890</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439,900</w:t>
            </w:r>
          </w:p>
        </w:tc>
      </w:tr>
    </w:tbl>
    <w:p>
      <w:pPr>
        <w:spacing w:after="0" w:line="190" w:lineRule="exact"/>
        <w:rPr>
          <w:sz w:val="20"/>
          <w:szCs w:val="20"/>
          <w:color w:val="auto"/>
        </w:rPr>
      </w:pPr>
    </w:p>
    <w:p>
      <w:pPr>
        <w:ind w:left="520" w:right="600" w:hanging="512"/>
        <w:spacing w:after="0" w:line="286" w:lineRule="auto"/>
        <w:tabs>
          <w:tab w:leader="none" w:pos="5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Audit Fees </w:t>
      </w:r>
      <w:r>
        <w:rPr>
          <w:rFonts w:ascii="Times New Roman" w:cs="Times New Roman" w:eastAsia="Times New Roman" w:hAnsi="Times New Roman"/>
          <w:sz w:val="17"/>
          <w:szCs w:val="17"/>
          <w:color w:val="auto"/>
        </w:rPr>
        <w:t>consist of professional services rendered for the audit of Marchex’s consolidated financial statements, interim review of the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included in the quarterly reports, and consent and review of registration statements.</w:t>
      </w:r>
    </w:p>
    <w:p>
      <w:pPr>
        <w:spacing w:after="0" w:line="47"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Audit-Related Fees </w:t>
      </w:r>
      <w:r>
        <w:rPr>
          <w:rFonts w:ascii="Times New Roman" w:cs="Times New Roman" w:eastAsia="Times New Roman" w:hAnsi="Times New Roman"/>
          <w:sz w:val="17"/>
          <w:szCs w:val="17"/>
          <w:color w:val="auto"/>
        </w:rPr>
        <w:t>consist of professional services rendered for assurance and related services.</w:t>
      </w:r>
    </w:p>
    <w:p>
      <w:pPr>
        <w:spacing w:after="0" w:line="115" w:lineRule="exact"/>
        <w:rPr>
          <w:rFonts w:ascii="Times New Roman" w:cs="Times New Roman" w:eastAsia="Times New Roman" w:hAnsi="Times New Roman"/>
          <w:sz w:val="17"/>
          <w:szCs w:val="17"/>
          <w:color w:val="auto"/>
        </w:rPr>
      </w:pPr>
    </w:p>
    <w:p>
      <w:pPr>
        <w:ind w:left="520" w:right="200" w:hanging="512"/>
        <w:spacing w:after="0" w:line="286" w:lineRule="auto"/>
        <w:tabs>
          <w:tab w:leader="none" w:pos="5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fees </w:t>
      </w:r>
      <w:r>
        <w:rPr>
          <w:rFonts w:ascii="Times New Roman" w:cs="Times New Roman" w:eastAsia="Times New Roman" w:hAnsi="Times New Roman"/>
          <w:sz w:val="17"/>
          <w:szCs w:val="17"/>
          <w:color w:val="auto"/>
        </w:rPr>
        <w:t>consist of fees for professional services for tax return preparation and consultation on matters related to state and local tax considerations and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credits.</w:t>
      </w:r>
    </w:p>
    <w:p>
      <w:pPr>
        <w:spacing w:after="0" w:line="162" w:lineRule="exact"/>
        <w:rPr>
          <w:rFonts w:ascii="Times New Roman" w:cs="Times New Roman" w:eastAsia="Times New Roman" w:hAnsi="Times New Roman"/>
          <w:sz w:val="17"/>
          <w:szCs w:val="17"/>
          <w:color w:val="auto"/>
        </w:rPr>
      </w:pP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Audit Committee pre-approved 100% of the 2025 and 2024 services and fees above pursuant to the pre-approval policy described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Pre-Approval by Audit Committee of Services Performed by Independent Registered Public Accounting Firm</w:t>
      </w:r>
    </w:p>
    <w:p>
      <w:pPr>
        <w:spacing w:after="0" w:line="22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policy of the Audit Committee is to pre-approve all audit and permissible non-audit services to be performed by the independent registered public accounting firm during the fiscal year. The Audit Committee pre-approves services by authorizing specific projects within the categories outlined above, subject to the budget for each category. The Audit Committee’s charter delegates to its Chairman the authority to address any requests for pre-approval of services between Audit Committee meetings, and the Chairman must report any pre-approval decisions to the Audit Committee at its next scheduled meeting.</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33"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exhibits listed in the exhibit index of the Form 10-K and the exhibits listed in the exhibit index of this Amendment are filed with, or incorporated by reference in, this report.</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306"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31.1</w:t>
      </w:r>
    </w:p>
    <w:p>
      <w:pPr>
        <w:spacing w:after="0" w:line="27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31.2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Officers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5752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24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1361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1264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264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882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201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1480" w:space="100"/>
            <w:col w:w="9660"/>
          </w:cols>
          <w:pgMar w:left="320" w:top="117" w:right="339" w:bottom="1440" w:gutter="0" w:footer="0" w:header="0"/>
          <w:type w:val="continuous"/>
        </w:sectPr>
      </w:pPr>
    </w:p>
    <w:p>
      <w:pPr>
        <w:ind w:left="1580" w:hanging="370"/>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Seattle, State of Washington on April 17, 2026.</w:t>
      </w:r>
    </w:p>
    <w:p>
      <w:pPr>
        <w:spacing w:after="0" w:line="5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ARCHEX</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6420"/>
        <w:spacing w:after="0"/>
        <w:tabs>
          <w:tab w:leader="none" w:pos="8260" w:val="left"/>
          <w:tab w:leader="none" w:pos="8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BRIAN NAGLE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8"/>
          <w:szCs w:val="18"/>
          <w:b w:val="1"/>
          <w:bCs w:val="1"/>
          <w:color w:val="auto"/>
        </w:rPr>
        <w:t>Brian Nagle</w:t>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8"/>
          <w:szCs w:val="18"/>
          <w:b w:val="1"/>
          <w:bCs w:val="1"/>
          <w:color w:val="auto"/>
        </w:rPr>
        <w:t>CFO</w:t>
      </w:r>
    </w:p>
    <w:p>
      <w:pPr>
        <w:spacing w:after="0" w:line="9"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 Accounting</w:t>
      </w:r>
    </w:p>
    <w:p>
      <w:pPr>
        <w:spacing w:after="0" w:line="21"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Troy Hartless and Francis J. Feeney, certify that:</w:t>
      </w:r>
    </w:p>
    <w:p>
      <w:pPr>
        <w:spacing w:after="0" w:line="11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Marchex, Inc. for the fiscal year ended December 31, 2025; and</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25" w:lineRule="exact"/>
        <w:rPr>
          <w:sz w:val="20"/>
          <w:szCs w:val="20"/>
          <w:color w:val="auto"/>
        </w:rPr>
      </w:pPr>
    </w:p>
    <w:p>
      <w:pPr>
        <w:ind w:left="8100"/>
        <w:spacing w:after="0"/>
        <w:tabs>
          <w:tab w:leader="none" w:pos="84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TROY HARTLESS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Troy Hartless</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President &amp; CRO</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(Co-PEO)</w:t>
      </w:r>
    </w:p>
    <w:p>
      <w:pPr>
        <w:spacing w:after="0" w:line="207" w:lineRule="exact"/>
        <w:rPr>
          <w:sz w:val="20"/>
          <w:szCs w:val="20"/>
          <w:color w:val="auto"/>
        </w:rPr>
      </w:pPr>
    </w:p>
    <w:p>
      <w:pPr>
        <w:ind w:left="8000"/>
        <w:spacing w:after="0"/>
        <w:tabs>
          <w:tab w:leader="none" w:pos="83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FRANCIS J.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Francis J. Feeney</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COO, CLO, &amp; Corporate Secretary</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Nagle, certify that:</w:t>
      </w:r>
    </w:p>
    <w:p>
      <w:pPr>
        <w:spacing w:after="0" w:line="1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Marchex, Inc. for the fiscal year ended December 31, 2025; and</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25" w:lineRule="exact"/>
        <w:rPr>
          <w:sz w:val="20"/>
          <w:szCs w:val="20"/>
          <w:color w:val="auto"/>
        </w:rPr>
      </w:pPr>
    </w:p>
    <w:p>
      <w:pPr>
        <w:ind w:left="8220"/>
        <w:spacing w:after="0"/>
        <w:tabs>
          <w:tab w:leader="none" w:pos="85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w:t>
        <w:tab/>
        <w:t>BRIAN NAGLE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b w:val="1"/>
          <w:bCs w:val="1"/>
          <w:color w:val="auto"/>
        </w:rPr>
        <w:t>Brian Nagle</w:t>
      </w:r>
    </w:p>
    <w:p>
      <w:pPr>
        <w:spacing w:after="0" w:line="2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CFO</w:t>
      </w:r>
    </w:p>
    <w:p>
      <w:pPr>
        <w:spacing w:after="0" w:line="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5"/>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lvl w:ilvl="1">
      <w:lvlJc w:val="left"/>
      <w:lvlText w:val="%2"/>
      <w:numFmt w:val="decimal"/>
      <w:start w:val="104"/>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2026-04-17T15:35:01Z</dcterms:created>
  <dcterms:modified xsi:type="dcterms:W3CDTF">2026-04-17T15:35:01Z</dcterms:modified>
</cp:coreProperties>
</file>